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4th,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February 25th,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approve the February 25th minutes, seconded by Gem Assessor Hollie Ann Flansberg.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Increase Fiscal Transparency and Accountability</w:t>
      </w:r>
    </w:p>
    <w:p w:rsidR="00000000" w:rsidDel="00000000" w:rsidP="00000000" w:rsidRDefault="00000000" w:rsidRPr="00000000" w14:paraId="0000000F">
      <w:pPr>
        <w:numPr>
          <w:ilvl w:val="1"/>
          <w:numId w:val="15"/>
        </w:numPr>
        <w:spacing w:line="240" w:lineRule="auto"/>
        <w:ind w:left="2880" w:right="-547" w:hanging="360"/>
        <w:rPr>
          <w:rFonts w:ascii="EB Garamond" w:cs="EB Garamond" w:eastAsia="EB Garamond" w:hAnsi="EB Garamond"/>
        </w:rPr>
      </w:pPr>
      <w:hyperlink r:id="rId6">
        <w:r w:rsidDel="00000000" w:rsidR="00000000" w:rsidRPr="00000000">
          <w:rPr>
            <w:rFonts w:ascii="EB Garamond" w:cs="EB Garamond" w:eastAsia="EB Garamond" w:hAnsi="EB Garamond"/>
            <w:b w:val="1"/>
            <w:bCs w:val="1"/>
            <w:color w:val="1155cc"/>
            <w:u w:val="single"/>
            <w:rtl w:val="0"/>
          </w:rPr>
          <w:t xml:space="preserve">H0556</w:t>
        </w:r>
      </w:hyperlink>
      <w:r w:rsidDel="00000000" w:rsidR="00000000" w:rsidRPr="00000000">
        <w:rPr>
          <w:rFonts w:ascii="EB Garamond" w:cs="EB Garamond" w:eastAsia="EB Garamond" w:hAnsi="EB Garamond"/>
          <w:b w:val="1"/>
          <w:bCs w:val="1"/>
          <w:rtl w:val="0"/>
        </w:rPr>
        <w:t xml:space="preserve"> | State Inmates</w:t>
      </w:r>
      <w:r w:rsidDel="00000000" w:rsidR="00000000" w:rsidRPr="00000000">
        <w:rPr>
          <w:rFonts w:ascii="EB Garamond" w:cs="EB Garamond" w:eastAsia="EB Garamond" w:hAnsi="EB Garamond"/>
          <w:rtl w:val="0"/>
        </w:rPr>
        <w:t xml:space="preserve"> - There is a hearing tentatively scheduled in the Senate Judiciary &amp; Rules committee. There will be a handful of individuals testifying on this issue in the committee. The main roadblock at the moment are budget concerns in the legislature.</w:t>
      </w:r>
      <w:r w:rsidDel="00000000" w:rsidR="00000000" w:rsidRPr="00000000">
        <w:rPr>
          <w:rtl w:val="0"/>
        </w:rPr>
      </w:r>
    </w:p>
    <w:p w:rsidR="00000000" w:rsidDel="00000000" w:rsidP="00000000" w:rsidRDefault="00000000" w:rsidRPr="00000000" w14:paraId="00000010">
      <w:pPr>
        <w:numPr>
          <w:ilvl w:val="1"/>
          <w:numId w:val="15"/>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NextGen e911 Fees </w:t>
      </w:r>
      <w:r w:rsidDel="00000000" w:rsidR="00000000" w:rsidRPr="00000000">
        <w:rPr>
          <w:rFonts w:ascii="EB Garamond" w:cs="EB Garamond" w:eastAsia="EB Garamond" w:hAnsi="EB Garamond"/>
          <w:rtl w:val="0"/>
        </w:rPr>
        <w:t xml:space="preserve">- Sheriff’s are good with the draft that has been completed and it was sent yesterday to the telephone companies. Some will oppose it while others have some questions on it. </w:t>
      </w:r>
    </w:p>
    <w:p w:rsidR="00000000" w:rsidDel="00000000" w:rsidP="00000000" w:rsidRDefault="00000000" w:rsidRPr="00000000" w14:paraId="00000011">
      <w:pPr>
        <w:numPr>
          <w:ilvl w:val="1"/>
          <w:numId w:val="15"/>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Mandates</w:t>
      </w:r>
      <w:r w:rsidDel="00000000" w:rsidR="00000000" w:rsidRPr="00000000">
        <w:rPr>
          <w:rFonts w:ascii="EB Garamond" w:cs="EB Garamond" w:eastAsia="EB Garamond" w:hAnsi="EB Garamond"/>
          <w:rtl w:val="0"/>
        </w:rPr>
        <w:t xml:space="preserve"> - This has been drafted by LSO, however there isn’t a ton of support on this legislation. Any bill that poses an underfunded mandate this session we are using to help amplify why this legislation is so important. This session it is unlikely there is a path forward for this legislation though.</w:t>
      </w:r>
    </w:p>
    <w:p w:rsidR="00000000" w:rsidDel="00000000" w:rsidP="00000000" w:rsidRDefault="00000000" w:rsidRPr="00000000" w14:paraId="00000012">
      <w:pPr>
        <w:numPr>
          <w:ilvl w:val="0"/>
          <w:numId w:val="15"/>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Diversify County Revenues</w:t>
        <w:br w:type="textWrapping"/>
        <w:t xml:space="preserve">- </w:t>
      </w:r>
      <w:r w:rsidDel="00000000" w:rsidR="00000000" w:rsidRPr="00000000">
        <w:rPr>
          <w:rFonts w:ascii="EB Garamond" w:cs="EB Garamond" w:eastAsia="EB Garamond" w:hAnsi="EB Garamond"/>
          <w:rtl w:val="0"/>
        </w:rPr>
        <w:t xml:space="preserve">There just aren’t the votes to advance this legislation at the moment. The positive news we have to report on is that the local option for county jails and infrastructure appears to have life once again. We are hoping this bill can get introduced by the end of the week. If this bill gets introduced we will need the support of all the members to move it forward.</w:t>
      </w:r>
    </w:p>
    <w:p w:rsidR="00000000" w:rsidDel="00000000" w:rsidP="00000000" w:rsidRDefault="00000000" w:rsidRPr="00000000" w14:paraId="00000013">
      <w:pPr>
        <w:numPr>
          <w:ilvl w:val="0"/>
          <w:numId w:val="15"/>
        </w:numPr>
        <w:spacing w:line="240" w:lineRule="auto"/>
        <w:ind w:left="1800" w:right="-547" w:hanging="360"/>
        <w:rPr>
          <w:rFonts w:ascii="EB Garamond" w:cs="EB Garamond" w:eastAsia="EB Garamond" w:hAnsi="EB Garamond"/>
          <w:b w:val="1"/>
          <w:bCs w:val="1"/>
        </w:rPr>
      </w:pPr>
      <w:hyperlink r:id="rId7">
        <w:r w:rsidDel="00000000" w:rsidR="00000000" w:rsidRPr="00000000">
          <w:rPr>
            <w:rFonts w:ascii="EB Garamond" w:cs="EB Garamond" w:eastAsia="EB Garamond" w:hAnsi="EB Garamond"/>
            <w:b w:val="1"/>
            <w:bCs w:val="1"/>
            <w:color w:val="1155cc"/>
            <w:u w:val="single"/>
            <w:rtl w:val="0"/>
          </w:rPr>
          <w:t xml:space="preserve">H0620</w:t>
        </w:r>
      </w:hyperlink>
      <w:r w:rsidDel="00000000" w:rsidR="00000000" w:rsidRPr="00000000">
        <w:rPr>
          <w:rFonts w:ascii="EB Garamond" w:cs="EB Garamond" w:eastAsia="EB Garamond" w:hAnsi="EB Garamond"/>
          <w:b w:val="1"/>
          <w:bCs w:val="1"/>
          <w:rtl w:val="0"/>
        </w:rPr>
        <w:t xml:space="preserve"> | Strengthen Local Choices in Federal Land Use Decisions</w:t>
        <w:br w:type="textWrapping"/>
        <w:t xml:space="preserve">- </w:t>
      </w:r>
      <w:r w:rsidDel="00000000" w:rsidR="00000000" w:rsidRPr="00000000">
        <w:rPr>
          <w:rFonts w:ascii="EB Garamond" w:cs="EB Garamond" w:eastAsia="EB Garamond" w:hAnsi="EB Garamond"/>
          <w:rtl w:val="0"/>
        </w:rPr>
        <w:t xml:space="preserve">This bill will hopefully be on the Senate floor later this week after passing out of the Senate Committee unanimously. Updates will come.</w:t>
      </w:r>
    </w:p>
    <w:p w:rsidR="00000000" w:rsidDel="00000000" w:rsidP="00000000" w:rsidRDefault="00000000" w:rsidRPr="00000000" w14:paraId="00000014">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6">
      <w:pPr>
        <w:numPr>
          <w:ilvl w:val="0"/>
          <w:numId w:val="17"/>
        </w:numPr>
        <w:spacing w:line="240" w:lineRule="auto"/>
        <w:ind w:left="1800" w:right="-547" w:hanging="360"/>
        <w:rPr>
          <w:rFonts w:ascii="EB Garamond" w:cs="EB Garamond" w:eastAsia="EB Garamond" w:hAnsi="EB Garamond"/>
          <w:b w:val="1"/>
          <w:bCs w:val="1"/>
          <w:sz w:val="6"/>
          <w:szCs w:val="6"/>
        </w:rPr>
      </w:pPr>
      <w:hyperlink r:id="rId8">
        <w:r w:rsidDel="00000000" w:rsidR="00000000" w:rsidRPr="00000000">
          <w:rPr>
            <w:rFonts w:ascii="EB Garamond" w:cs="EB Garamond" w:eastAsia="EB Garamond" w:hAnsi="EB Garamond"/>
            <w:b w:val="1"/>
            <w:bCs w:val="1"/>
            <w:color w:val="1155cc"/>
            <w:u w:val="single"/>
            <w:rtl w:val="0"/>
          </w:rPr>
          <w:t xml:space="preserve">H0781</w:t>
        </w:r>
      </w:hyperlink>
      <w:r w:rsidDel="00000000" w:rsidR="00000000" w:rsidRPr="00000000">
        <w:rPr>
          <w:rFonts w:ascii="EB Garamond" w:cs="EB Garamond" w:eastAsia="EB Garamond" w:hAnsi="EB Garamond"/>
          <w:b w:val="1"/>
          <w:bCs w:val="1"/>
          <w:rtl w:val="0"/>
        </w:rPr>
        <w:t xml:space="preserve"> | Pest Abatement (SUPPORT)</w:t>
      </w:r>
    </w:p>
    <w:p w:rsidR="00000000" w:rsidDel="00000000" w:rsidP="00000000" w:rsidRDefault="00000000" w:rsidRPr="00000000" w14:paraId="00000017">
      <w:pPr>
        <w:numPr>
          <w:ilvl w:val="0"/>
          <w:numId w:val="11"/>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Amending current statute to incorporate rodents, such as rats, to help deal with the influx of rats. This bill has not been heard yet, so updates will come as it advances.</w:t>
      </w:r>
    </w:p>
    <w:p w:rsidR="00000000" w:rsidDel="00000000" w:rsidP="00000000" w:rsidRDefault="00000000" w:rsidRPr="00000000" w14:paraId="0000001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9">
      <w:pPr>
        <w:numPr>
          <w:ilvl w:val="0"/>
          <w:numId w:val="17"/>
        </w:numPr>
        <w:spacing w:line="240" w:lineRule="auto"/>
        <w:ind w:left="1800" w:right="-547" w:hanging="360"/>
        <w:rPr>
          <w:rFonts w:ascii="EB Garamond" w:cs="EB Garamond" w:eastAsia="EB Garamond" w:hAnsi="EB Garamond"/>
          <w:sz w:val="6"/>
          <w:szCs w:val="6"/>
        </w:rPr>
      </w:pPr>
      <w:hyperlink r:id="rId9">
        <w:r w:rsidDel="00000000" w:rsidR="00000000" w:rsidRPr="00000000">
          <w:rPr>
            <w:rFonts w:ascii="EB Garamond" w:cs="EB Garamond" w:eastAsia="EB Garamond" w:hAnsi="EB Garamond"/>
            <w:b w:val="1"/>
            <w:bCs w:val="1"/>
            <w:color w:val="1155cc"/>
            <w:u w:val="single"/>
            <w:rtl w:val="0"/>
          </w:rPr>
          <w:t xml:space="preserve">H0791</w:t>
        </w:r>
      </w:hyperlink>
      <w:r w:rsidDel="00000000" w:rsidR="00000000" w:rsidRPr="00000000">
        <w:rPr>
          <w:rFonts w:ascii="EB Garamond" w:cs="EB Garamond" w:eastAsia="EB Garamond" w:hAnsi="EB Garamond"/>
          <w:b w:val="1"/>
          <w:bCs w:val="1"/>
          <w:rtl w:val="0"/>
        </w:rPr>
        <w:t xml:space="preserve"> | Traffic Infractions</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bCs w:val="1"/>
          <w:rtl w:val="0"/>
        </w:rPr>
        <w:t xml:space="preserve">SUPPORT)</w:t>
      </w:r>
    </w:p>
    <w:p w:rsidR="00000000" w:rsidDel="00000000" w:rsidP="00000000" w:rsidRDefault="00000000" w:rsidRPr="00000000" w14:paraId="0000001A">
      <w:pPr>
        <w:numPr>
          <w:ilvl w:val="0"/>
          <w:numId w:val="1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attempts to rectify an issue where a drivers license that has been suspended for failure to pay an infraction will not be reinstated until there is proof that they have paid the infraction. It closes a loophole from previous legislation and will help the counties collect necessary fees.</w:t>
      </w:r>
    </w:p>
    <w:p w:rsidR="00000000" w:rsidDel="00000000" w:rsidP="00000000" w:rsidRDefault="00000000" w:rsidRPr="00000000" w14:paraId="0000001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i w:val="1"/>
          <w:iCs w:val="1"/>
          <w:rtl w:val="0"/>
        </w:rPr>
        <w:t xml:space="preserve">Annette Dygert motioned to support H0791, seconded by Gem Assessor Hollie Ann Flansberg. Motion passed.</w:t>
      </w:r>
    </w:p>
    <w:p w:rsidR="00000000" w:rsidDel="00000000" w:rsidP="00000000" w:rsidRDefault="00000000" w:rsidRPr="00000000" w14:paraId="0000001D">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E">
      <w:pPr>
        <w:numPr>
          <w:ilvl w:val="0"/>
          <w:numId w:val="17"/>
        </w:numPr>
        <w:spacing w:line="240" w:lineRule="auto"/>
        <w:ind w:left="1800" w:right="-547" w:hanging="360"/>
        <w:rPr>
          <w:rFonts w:ascii="EB Garamond" w:cs="EB Garamond" w:eastAsia="EB Garamond" w:hAnsi="EB Garamond"/>
          <w:b w:val="1"/>
          <w:bCs w:val="1"/>
          <w:sz w:val="6"/>
          <w:szCs w:val="6"/>
        </w:rPr>
      </w:pPr>
      <w:hyperlink r:id="rId10">
        <w:r w:rsidDel="00000000" w:rsidR="00000000" w:rsidRPr="00000000">
          <w:rPr>
            <w:rFonts w:ascii="EB Garamond" w:cs="EB Garamond" w:eastAsia="EB Garamond" w:hAnsi="EB Garamond"/>
            <w:b w:val="1"/>
            <w:bCs w:val="1"/>
            <w:color w:val="1155cc"/>
            <w:u w:val="single"/>
            <w:rtl w:val="0"/>
          </w:rPr>
          <w:t xml:space="preserve">H0800</w:t>
        </w:r>
      </w:hyperlink>
      <w:r w:rsidDel="00000000" w:rsidR="00000000" w:rsidRPr="00000000">
        <w:rPr>
          <w:rFonts w:ascii="EB Garamond" w:cs="EB Garamond" w:eastAsia="EB Garamond" w:hAnsi="EB Garamond"/>
          <w:b w:val="1"/>
          <w:bCs w:val="1"/>
          <w:rtl w:val="0"/>
        </w:rPr>
        <w:t xml:space="preserve"> | Manufactured Homes</w:t>
      </w:r>
    </w:p>
    <w:p w:rsidR="00000000" w:rsidDel="00000000" w:rsidP="00000000" w:rsidRDefault="00000000" w:rsidRPr="00000000" w14:paraId="0000001F">
      <w:pPr>
        <w:numPr>
          <w:ilvl w:val="0"/>
          <w:numId w:val="18"/>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has had language updated so that it includes changes that previously negatively affected counties and it no longer does because it doesn’t change existing statute. Manufactured homes square footage language refers to the size of the home, not the lot size.</w:t>
      </w:r>
    </w:p>
    <w:p w:rsidR="00000000" w:rsidDel="00000000" w:rsidP="00000000" w:rsidRDefault="00000000" w:rsidRPr="00000000" w14:paraId="00000020">
      <w:pPr>
        <w:numPr>
          <w:ilvl w:val="0"/>
          <w:numId w:val="17"/>
        </w:numPr>
        <w:spacing w:line="240" w:lineRule="auto"/>
        <w:ind w:left="1800" w:right="-547"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H0801</w:t>
        </w:r>
      </w:hyperlink>
      <w:r w:rsidDel="00000000" w:rsidR="00000000" w:rsidRPr="00000000">
        <w:rPr>
          <w:rFonts w:ascii="EB Garamond" w:cs="EB Garamond" w:eastAsia="EB Garamond" w:hAnsi="EB Garamond"/>
          <w:b w:val="1"/>
          <w:bCs w:val="1"/>
          <w:rtl w:val="0"/>
        </w:rPr>
        <w:t xml:space="preserve"> | Religious Land Development (OPPOSE)</w:t>
      </w:r>
    </w:p>
    <w:p w:rsidR="00000000" w:rsidDel="00000000" w:rsidP="00000000" w:rsidRDefault="00000000" w:rsidRPr="00000000" w14:paraId="00000021">
      <w:pPr>
        <w:numPr>
          <w:ilvl w:val="0"/>
          <w:numId w:val="7"/>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They pulled counties from the bill. The concern/question is that if the land is owned and developed by a religious organization, does the land receive an exemption? There is concern that by broadening land use authority, do they have the ability to develop apartments, commercial buildings, etc. and exempt those buildings.</w:t>
      </w:r>
    </w:p>
    <w:p w:rsidR="00000000" w:rsidDel="00000000" w:rsidP="00000000" w:rsidRDefault="00000000" w:rsidRPr="00000000" w14:paraId="0000002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3">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oppose H0801, seconded by Canyon Commissioner Zach Brooks. Motion passed.</w:t>
      </w:r>
    </w:p>
    <w:p w:rsidR="00000000" w:rsidDel="00000000" w:rsidP="00000000" w:rsidRDefault="00000000" w:rsidRPr="00000000" w14:paraId="00000024">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5">
      <w:pPr>
        <w:numPr>
          <w:ilvl w:val="0"/>
          <w:numId w:val="17"/>
        </w:numPr>
        <w:spacing w:line="240" w:lineRule="auto"/>
        <w:ind w:left="1800" w:right="-547" w:hanging="360"/>
        <w:rPr>
          <w:rFonts w:ascii="EB Garamond" w:cs="EB Garamond" w:eastAsia="EB Garamond" w:hAnsi="EB Garamond"/>
          <w:b w:val="1"/>
          <w:bCs w:val="1"/>
          <w:sz w:val="6"/>
          <w:szCs w:val="6"/>
        </w:rPr>
      </w:pPr>
      <w:hyperlink r:id="rId12">
        <w:r w:rsidDel="00000000" w:rsidR="00000000" w:rsidRPr="00000000">
          <w:rPr>
            <w:rFonts w:ascii="EB Garamond" w:cs="EB Garamond" w:eastAsia="EB Garamond" w:hAnsi="EB Garamond"/>
            <w:b w:val="1"/>
            <w:bCs w:val="1"/>
            <w:color w:val="1155cc"/>
            <w:u w:val="single"/>
            <w:rtl w:val="0"/>
          </w:rPr>
          <w:t xml:space="preserve">H0802</w:t>
        </w:r>
      </w:hyperlink>
      <w:r w:rsidDel="00000000" w:rsidR="00000000" w:rsidRPr="00000000">
        <w:rPr>
          <w:rFonts w:ascii="EB Garamond" w:cs="EB Garamond" w:eastAsia="EB Garamond" w:hAnsi="EB Garamond"/>
          <w:b w:val="1"/>
          <w:bCs w:val="1"/>
          <w:rtl w:val="0"/>
        </w:rPr>
        <w:t xml:space="preserve"> | Multifamily Housing in Commercial Areas (OPPOSE)</w:t>
      </w:r>
    </w:p>
    <w:p w:rsidR="00000000" w:rsidDel="00000000" w:rsidP="00000000" w:rsidRDefault="00000000" w:rsidRPr="00000000" w14:paraId="00000026">
      <w:pPr>
        <w:numPr>
          <w:ilvl w:val="0"/>
          <w:numId w:val="3"/>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A reintroduction of a bill that was previously introduced,d it would allow multi-family housing to be developed in zones for commercial purposes. They pulled counties out so it would only apply to cities, however it enables a developer who is aggrieved by the city to bring a private cause of action to the city, which is something we have long opposed because of the separate legal process that already exists. Allowing individuals to seek a private cause of action outside of existing channels causes issues and preempts local land use authority.</w:t>
      </w:r>
    </w:p>
    <w:p w:rsidR="00000000" w:rsidDel="00000000" w:rsidP="00000000" w:rsidRDefault="00000000" w:rsidRPr="00000000" w14:paraId="00000027">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8">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oppose H0802, seconded by Canyon Commissioner Zach Brooks. Motion passed.</w:t>
      </w:r>
    </w:p>
    <w:p w:rsidR="00000000" w:rsidDel="00000000" w:rsidP="00000000" w:rsidRDefault="00000000" w:rsidRPr="00000000" w14:paraId="0000002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A">
      <w:pPr>
        <w:numPr>
          <w:ilvl w:val="0"/>
          <w:numId w:val="17"/>
        </w:numPr>
        <w:spacing w:line="240" w:lineRule="auto"/>
        <w:ind w:left="1800" w:right="-547" w:hanging="360"/>
        <w:rPr>
          <w:rFonts w:ascii="EB Garamond" w:cs="EB Garamond" w:eastAsia="EB Garamond" w:hAnsi="EB Garamond"/>
          <w:b w:val="1"/>
          <w:bCs w:val="1"/>
          <w:sz w:val="6"/>
          <w:szCs w:val="6"/>
        </w:rPr>
      </w:pPr>
      <w:hyperlink r:id="rId13">
        <w:r w:rsidDel="00000000" w:rsidR="00000000" w:rsidRPr="00000000">
          <w:rPr>
            <w:rFonts w:ascii="EB Garamond" w:cs="EB Garamond" w:eastAsia="EB Garamond" w:hAnsi="EB Garamond"/>
            <w:b w:val="1"/>
            <w:bCs w:val="1"/>
            <w:color w:val="1155cc"/>
            <w:u w:val="single"/>
            <w:rtl w:val="0"/>
          </w:rPr>
          <w:t xml:space="preserve">H0804 </w:t>
        </w:r>
      </w:hyperlink>
      <w:r w:rsidDel="00000000" w:rsidR="00000000" w:rsidRPr="00000000">
        <w:rPr>
          <w:rFonts w:ascii="EB Garamond" w:cs="EB Garamond" w:eastAsia="EB Garamond" w:hAnsi="EB Garamond"/>
          <w:b w:val="1"/>
          <w:bCs w:val="1"/>
          <w:rtl w:val="0"/>
        </w:rPr>
        <w:t xml:space="preserve">| Highways &amp; Bridges Service Areas</w:t>
      </w:r>
    </w:p>
    <w:p w:rsidR="00000000" w:rsidDel="00000000" w:rsidP="00000000" w:rsidRDefault="00000000" w:rsidRPr="00000000" w14:paraId="0000002B">
      <w:pPr>
        <w:numPr>
          <w:ilvl w:val="0"/>
          <w:numId w:val="16"/>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There are cities spilling into other counties due to growth and the way that the highway distribution account works is that the highway district receives all the highway user revenue for the cities within its  boundaries, so you now have cities spilling into other counties that allows certain counties to capture that revenue that would otherwise go to another county. This bill would allow Ada county to extend their services outside of existing boundaries. ACHD is a unique highway jurisdiction because they have unique ordinance authority to enact impact fees and a local option registration fee that is collected on all vehicles in Ada county. This bill does not extend that authority outside of Ada county, however that may create other issues moving forward because you will have a county servicing areas outside of their jurisdiction without the ability to collect impact fee, registration, and other sources of revenue. </w:t>
      </w:r>
    </w:p>
    <w:p w:rsidR="00000000" w:rsidDel="00000000" w:rsidP="00000000" w:rsidRDefault="00000000" w:rsidRPr="00000000" w14:paraId="0000002C">
      <w:pPr>
        <w:numPr>
          <w:ilvl w:val="0"/>
          <w:numId w:val="17"/>
        </w:numPr>
        <w:spacing w:line="240" w:lineRule="auto"/>
        <w:ind w:left="1800" w:right="-547" w:hanging="360"/>
        <w:rPr>
          <w:rFonts w:ascii="EB Garamond" w:cs="EB Garamond" w:eastAsia="EB Garamond" w:hAnsi="EB Garamond"/>
          <w:b w:val="1"/>
          <w:bCs w:val="1"/>
          <w:sz w:val="6"/>
          <w:szCs w:val="6"/>
        </w:rPr>
      </w:pPr>
      <w:hyperlink r:id="rId14">
        <w:r w:rsidDel="00000000" w:rsidR="00000000" w:rsidRPr="00000000">
          <w:rPr>
            <w:rFonts w:ascii="EB Garamond" w:cs="EB Garamond" w:eastAsia="EB Garamond" w:hAnsi="EB Garamond"/>
            <w:b w:val="1"/>
            <w:bCs w:val="1"/>
            <w:color w:val="1155cc"/>
            <w:u w:val="single"/>
            <w:rtl w:val="0"/>
          </w:rPr>
          <w:t xml:space="preserve">H0811</w:t>
        </w:r>
      </w:hyperlink>
      <w:r w:rsidDel="00000000" w:rsidR="00000000" w:rsidRPr="00000000">
        <w:rPr>
          <w:rFonts w:ascii="EB Garamond" w:cs="EB Garamond" w:eastAsia="EB Garamond" w:hAnsi="EB Garamond"/>
          <w:b w:val="1"/>
          <w:bCs w:val="1"/>
          <w:rtl w:val="0"/>
        </w:rPr>
        <w:t xml:space="preserve"> | Community Infrastructure Districts (CIDs) (SUPPORT)</w:t>
      </w:r>
    </w:p>
    <w:p w:rsidR="00000000" w:rsidDel="00000000" w:rsidP="00000000" w:rsidRDefault="00000000" w:rsidRPr="00000000" w14:paraId="0000002D">
      <w:pPr>
        <w:numPr>
          <w:ilvl w:val="0"/>
          <w:numId w:val="13"/>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A proposal that IAC worked with stakeholders on two years ago. What this bill does is allows a CID to be established outside of an area of impact in the county to provide infrastructure for development. For example, in the Boise area, Avimor was built with a CID enabling them to build out roads, water and sewer infrastructure, etc., and then levy an assessment on those properties to pay for it. This is coming from Valley County due to the development happening around Cascade Lake, </w:t>
      </w:r>
      <w:r w:rsidDel="00000000" w:rsidR="00000000" w:rsidRPr="00000000">
        <w:rPr>
          <w:rFonts w:ascii="EB Garamond" w:cs="EB Garamond" w:eastAsia="EB Garamond" w:hAnsi="EB Garamond"/>
          <w:rtl w:val="0"/>
        </w:rPr>
        <w:t xml:space="preserve">opposite of Donnelly</w:t>
      </w:r>
      <w:r w:rsidDel="00000000" w:rsidR="00000000" w:rsidRPr="00000000">
        <w:rPr>
          <w:rFonts w:ascii="EB Garamond" w:cs="EB Garamond" w:eastAsia="EB Garamond" w:hAnsi="EB Garamond"/>
          <w:rtl w:val="0"/>
        </w:rPr>
        <w:t xml:space="preserve"> and Cascade. There is infrastructure that needs to be replaced but they cannot currently do that, so this bill would allow Valley County to update that infrastructure. </w:t>
      </w:r>
    </w:p>
    <w:p w:rsidR="00000000" w:rsidDel="00000000" w:rsidP="00000000" w:rsidRDefault="00000000" w:rsidRPr="00000000" w14:paraId="0000002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F">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support H0811, seconded by Canyon Commissioner Zach Brooks. Motion passed.</w:t>
      </w:r>
    </w:p>
    <w:p w:rsidR="00000000" w:rsidDel="00000000" w:rsidP="00000000" w:rsidRDefault="00000000" w:rsidRPr="00000000" w14:paraId="0000003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1">
      <w:pPr>
        <w:numPr>
          <w:ilvl w:val="0"/>
          <w:numId w:val="17"/>
        </w:numPr>
        <w:spacing w:line="240" w:lineRule="auto"/>
        <w:ind w:left="1800" w:right="-547" w:hanging="360"/>
        <w:rPr>
          <w:rFonts w:ascii="EB Garamond" w:cs="EB Garamond" w:eastAsia="EB Garamond" w:hAnsi="EB Garamond"/>
          <w:b w:val="1"/>
          <w:bCs w:val="1"/>
          <w:sz w:val="6"/>
          <w:szCs w:val="6"/>
        </w:rPr>
      </w:pPr>
      <w:hyperlink r:id="rId15">
        <w:r w:rsidDel="00000000" w:rsidR="00000000" w:rsidRPr="00000000">
          <w:rPr>
            <w:rFonts w:ascii="EB Garamond" w:cs="EB Garamond" w:eastAsia="EB Garamond" w:hAnsi="EB Garamond"/>
            <w:b w:val="1"/>
            <w:bCs w:val="1"/>
            <w:color w:val="1155cc"/>
            <w:u w:val="single"/>
            <w:rtl w:val="0"/>
          </w:rPr>
          <w:t xml:space="preserve">S1271aa</w:t>
        </w:r>
      </w:hyperlink>
      <w:r w:rsidDel="00000000" w:rsidR="00000000" w:rsidRPr="00000000">
        <w:rPr>
          <w:rFonts w:ascii="EB Garamond" w:cs="EB Garamond" w:eastAsia="EB Garamond" w:hAnsi="EB Garamond"/>
          <w:b w:val="1"/>
          <w:bCs w:val="1"/>
          <w:rtl w:val="0"/>
        </w:rPr>
        <w:t xml:space="preserve"> | Rats </w:t>
      </w:r>
      <w:r w:rsidDel="00000000" w:rsidR="00000000" w:rsidRPr="00000000">
        <w:rPr>
          <w:rFonts w:ascii="EB Garamond" w:cs="EB Garamond" w:eastAsia="EB Garamond" w:hAnsi="EB Garamond"/>
          <w:b w:val="1"/>
          <w:bCs w:val="1"/>
          <w:i w:val="1"/>
          <w:iCs w:val="1"/>
          <w:rtl w:val="0"/>
        </w:rPr>
        <w:t xml:space="preserve">(amendments made) </w:t>
      </w:r>
      <w:r w:rsidDel="00000000" w:rsidR="00000000" w:rsidRPr="00000000">
        <w:rPr>
          <w:rFonts w:ascii="EB Garamond" w:cs="EB Garamond" w:eastAsia="EB Garamond" w:hAnsi="EB Garamond"/>
          <w:b w:val="1"/>
          <w:bCs w:val="1"/>
          <w:rtl w:val="0"/>
        </w:rPr>
        <w:t xml:space="preserve">(OPPOSE)</w:t>
      </w:r>
    </w:p>
    <w:p w:rsidR="00000000" w:rsidDel="00000000" w:rsidP="00000000" w:rsidRDefault="00000000" w:rsidRPr="00000000" w14:paraId="00000032">
      <w:pPr>
        <w:numPr>
          <w:ilvl w:val="0"/>
          <w:numId w:val="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bill mandates the Director of the Department of Agriculture to develop and implement a coordinated statewide abatement plan by November 1, 2026. The legislation requires political subdivisions to report rat sightings to the Idaho invasive species hotline and authorizes the state to use GIS mapping for tracking and eradication efforts. While the bill facilitates state-level coordination and public education to manage these populations, it clarifies that participation is not a mandate for local governments and does not require them to provide specific funding.</w:t>
      </w:r>
    </w:p>
    <w:p w:rsidR="00000000" w:rsidDel="00000000" w:rsidP="00000000" w:rsidRDefault="00000000" w:rsidRPr="00000000" w14:paraId="0000003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Canyon Commissioner Zach Brooks motioned to oppose S1271aa and support H0781, seconded by Kootenai Commissioner Bruce Mattare. Motion passed.</w:t>
      </w:r>
    </w:p>
    <w:p w:rsidR="00000000" w:rsidDel="00000000" w:rsidP="00000000" w:rsidRDefault="00000000" w:rsidRPr="00000000" w14:paraId="0000003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numPr>
          <w:ilvl w:val="0"/>
          <w:numId w:val="17"/>
        </w:numPr>
        <w:spacing w:line="240" w:lineRule="auto"/>
        <w:ind w:left="1800" w:right="-547" w:hanging="360"/>
        <w:rPr>
          <w:rFonts w:ascii="EB Garamond" w:cs="EB Garamond" w:eastAsia="EB Garamond" w:hAnsi="EB Garamond"/>
          <w:b w:val="1"/>
          <w:bCs w:val="1"/>
          <w:sz w:val="6"/>
          <w:szCs w:val="6"/>
        </w:rPr>
      </w:pPr>
      <w:hyperlink r:id="rId16">
        <w:r w:rsidDel="00000000" w:rsidR="00000000" w:rsidRPr="00000000">
          <w:rPr>
            <w:rFonts w:ascii="EB Garamond" w:cs="EB Garamond" w:eastAsia="EB Garamond" w:hAnsi="EB Garamond"/>
            <w:b w:val="1"/>
            <w:bCs w:val="1"/>
            <w:color w:val="1155cc"/>
            <w:u w:val="single"/>
            <w:rtl w:val="0"/>
          </w:rPr>
          <w:t xml:space="preserve">S1344</w:t>
        </w:r>
      </w:hyperlink>
      <w:r w:rsidDel="00000000" w:rsidR="00000000" w:rsidRPr="00000000">
        <w:rPr>
          <w:rFonts w:ascii="EB Garamond" w:cs="EB Garamond" w:eastAsia="EB Garamond" w:hAnsi="EB Garamond"/>
          <w:b w:val="1"/>
          <w:bCs w:val="1"/>
          <w:rtl w:val="0"/>
        </w:rPr>
        <w:t xml:space="preserve"> | Health &amp; Welfare - Contracts</w:t>
      </w:r>
    </w:p>
    <w:p w:rsidR="00000000" w:rsidDel="00000000" w:rsidP="00000000" w:rsidRDefault="00000000" w:rsidRPr="00000000" w14:paraId="00000037">
      <w:pPr>
        <w:numPr>
          <w:ilvl w:val="0"/>
          <w:numId w:val="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is not going anywhere this session, but this bill would remove pass-through funding for anything that is not listed in a statute. For example, pass through funding not specifically listed in Idaho statute for authority, the funding would be cut off which would be very problematic, especially for a variety of health districts.</w:t>
      </w:r>
    </w:p>
    <w:p w:rsidR="00000000" w:rsidDel="00000000" w:rsidP="00000000" w:rsidRDefault="00000000" w:rsidRPr="00000000" w14:paraId="00000038">
      <w:pPr>
        <w:numPr>
          <w:ilvl w:val="0"/>
          <w:numId w:val="17"/>
        </w:numPr>
        <w:spacing w:line="240" w:lineRule="auto"/>
        <w:ind w:left="1800" w:right="-547" w:hanging="360"/>
        <w:rPr>
          <w:rFonts w:ascii="EB Garamond" w:cs="EB Garamond" w:eastAsia="EB Garamond" w:hAnsi="EB Garamond"/>
          <w:b w:val="1"/>
          <w:bCs w:val="1"/>
          <w:sz w:val="6"/>
          <w:szCs w:val="6"/>
        </w:rPr>
      </w:pPr>
      <w:hyperlink r:id="rId17">
        <w:r w:rsidDel="00000000" w:rsidR="00000000" w:rsidRPr="00000000">
          <w:rPr>
            <w:rFonts w:ascii="EB Garamond" w:cs="EB Garamond" w:eastAsia="EB Garamond" w:hAnsi="EB Garamond"/>
            <w:b w:val="1"/>
            <w:bCs w:val="1"/>
            <w:color w:val="1155cc"/>
            <w:u w:val="single"/>
            <w:rtl w:val="0"/>
          </w:rPr>
          <w:t xml:space="preserve">S1355</w:t>
        </w:r>
      </w:hyperlink>
      <w:r w:rsidDel="00000000" w:rsidR="00000000" w:rsidRPr="00000000">
        <w:rPr>
          <w:rFonts w:ascii="EB Garamond" w:cs="EB Garamond" w:eastAsia="EB Garamond" w:hAnsi="EB Garamond"/>
          <w:b w:val="1"/>
          <w:bCs w:val="1"/>
          <w:rtl w:val="0"/>
        </w:rPr>
        <w:t xml:space="preserve"> | Land subdivisions, family members (OPPOSE)</w:t>
      </w:r>
    </w:p>
    <w:p w:rsidR="00000000" w:rsidDel="00000000" w:rsidP="00000000" w:rsidRDefault="00000000" w:rsidRPr="00000000" w14:paraId="00000039">
      <w:pPr>
        <w:numPr>
          <w:ilvl w:val="0"/>
          <w:numId w:val="2"/>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Introduced by Senator Harris and is related to subdivision of ag lands. The intent behind the bill is to allow a farmer or family farm to subdivide no less than one five acre parcel on their land for a family member to use as their residence. If it is five acres or less, then it cannot be carved off and would have to go through the regular subdivision requirements of the county. In order to do this, the individual would have to have owned the land that is being divided for 5-10 years. The recipient would then have to remain on the land in the home that is built for at least 5 years to prevent the land from selling. There are provisions that allow for the county to do, such as making requirements of documentation and does not apply to the division of land outside of platted subdivision for a single gift or single sale.</w:t>
      </w:r>
    </w:p>
    <w:p w:rsidR="00000000" w:rsidDel="00000000" w:rsidP="00000000" w:rsidRDefault="00000000" w:rsidRPr="00000000" w14:paraId="0000003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oppose S1355, seconded by Gem Assessor Hollie Ann Flansberg. Motion passed.</w:t>
      </w:r>
    </w:p>
    <w:p w:rsidR="00000000" w:rsidDel="00000000" w:rsidP="00000000" w:rsidRDefault="00000000" w:rsidRPr="00000000" w14:paraId="0000003C">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3D">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3E">
      <w:pPr>
        <w:numPr>
          <w:ilvl w:val="0"/>
          <w:numId w:val="5"/>
        </w:numPr>
        <w:spacing w:line="240" w:lineRule="auto"/>
        <w:ind w:left="1800" w:right="-547" w:hanging="360"/>
        <w:rPr>
          <w:rFonts w:ascii="EB Garamond" w:cs="EB Garamond" w:eastAsia="EB Garamond" w:hAnsi="EB Garamond"/>
          <w:sz w:val="6"/>
          <w:szCs w:val="6"/>
        </w:rPr>
      </w:pPr>
      <w:hyperlink r:id="rId18">
        <w:r w:rsidDel="00000000" w:rsidR="00000000" w:rsidRPr="00000000">
          <w:rPr>
            <w:rFonts w:ascii="EB Garamond" w:cs="EB Garamond" w:eastAsia="EB Garamond" w:hAnsi="EB Garamond"/>
            <w:b w:val="1"/>
            <w:bCs w:val="1"/>
            <w:color w:val="1155cc"/>
            <w:u w:val="single"/>
            <w:rtl w:val="0"/>
          </w:rPr>
          <w:t xml:space="preserve">H0808</w:t>
        </w:r>
      </w:hyperlink>
      <w:r w:rsidDel="00000000" w:rsidR="00000000" w:rsidRPr="00000000">
        <w:rPr>
          <w:rFonts w:ascii="EB Garamond" w:cs="EB Garamond" w:eastAsia="EB Garamond" w:hAnsi="EB Garamond"/>
          <w:b w:val="1"/>
          <w:bCs w:val="1"/>
          <w:rtl w:val="0"/>
        </w:rPr>
        <w:t xml:space="preserve"> | Medical Mandates</w:t>
      </w:r>
    </w:p>
    <w:p w:rsidR="00000000" w:rsidDel="00000000" w:rsidP="00000000" w:rsidRDefault="00000000" w:rsidRPr="00000000" w14:paraId="0000003F">
      <w:pPr>
        <w:numPr>
          <w:ilvl w:val="0"/>
          <w:numId w:val="1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aims to establish broad protections against medical mandates by amending and repealing sections of the Idaho Code related to immunizations. The bill prohibits any political subdivision, school, or government entity from mandating or even recommending medical interventions which it defines as any vaccine, drug, or procedure as a condition for employment, education, or access to services. It further strengthens parental rights by ensuring participation in the state’s immunization registry is strictly voluntary and allows parents to refuse vaccinations for any reason without penalty. Additionally, the legislation bars businesses and public entities from discriminating against individuals based on their vaccination status and includes provisions that allow for the recovery of attorney's fees if these rights are violated.</w:t>
      </w:r>
    </w:p>
    <w:p w:rsidR="00000000" w:rsidDel="00000000" w:rsidP="00000000" w:rsidRDefault="00000000" w:rsidRPr="00000000" w14:paraId="0000004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 xml:space="preserve">12:00 pm               </w:t>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42">
      <w:pPr>
        <w:numPr>
          <w:ilvl w:val="0"/>
          <w:numId w:val="5"/>
        </w:numPr>
        <w:spacing w:line="240" w:lineRule="auto"/>
        <w:ind w:left="1800" w:right="-547" w:hanging="360"/>
        <w:rPr>
          <w:rFonts w:ascii="EB Garamond" w:cs="EB Garamond" w:eastAsia="EB Garamond" w:hAnsi="EB Garamond"/>
          <w:sz w:val="6"/>
          <w:szCs w:val="6"/>
        </w:rPr>
      </w:pPr>
      <w:hyperlink r:id="rId19">
        <w:r w:rsidDel="00000000" w:rsidR="00000000" w:rsidRPr="00000000">
          <w:rPr>
            <w:rFonts w:ascii="EB Garamond" w:cs="EB Garamond" w:eastAsia="EB Garamond" w:hAnsi="EB Garamond"/>
            <w:b w:val="1"/>
            <w:bCs w:val="1"/>
            <w:color w:val="1155cc"/>
            <w:u w:val="single"/>
            <w:rtl w:val="0"/>
          </w:rPr>
          <w:t xml:space="preserve">H0743</w:t>
        </w:r>
      </w:hyperlink>
      <w:r w:rsidDel="00000000" w:rsidR="00000000" w:rsidRPr="00000000">
        <w:rPr>
          <w:rFonts w:ascii="EB Garamond" w:cs="EB Garamond" w:eastAsia="EB Garamond" w:hAnsi="EB Garamond"/>
          <w:b w:val="1"/>
          <w:bCs w:val="1"/>
          <w:rtl w:val="0"/>
        </w:rPr>
        <w:t xml:space="preserve"> | AG New Powers</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bCs w:val="1"/>
          <w:rtl w:val="0"/>
        </w:rPr>
        <w:t xml:space="preserve">(OPPOSE)</w:t>
      </w:r>
    </w:p>
    <w:p w:rsidR="00000000" w:rsidDel="00000000" w:rsidP="00000000" w:rsidRDefault="00000000" w:rsidRPr="00000000" w14:paraId="00000043">
      <w:pPr>
        <w:numPr>
          <w:ilvl w:val="0"/>
          <w:numId w:val="8"/>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will not be moving forward this session as the Speaker of the House pulled it. He is trying to draft a new version that will address the issues that a variety of stakeholders have raised while still providing some teeth to the state to enforce entities to comply with state laws. As a reminder, this bill would have allowed the attorney general to file an action to enforce the law against a public officer, public employee, or public entity if the attorney general has reason to believe they failed to perform a duty as assigned by law or violated a prohibition imposed by law. It would apply to any law that lacks an established penalty for noncompliance or an enforcement mechanism. If the court sides with the attorney general that a party willfully failed to comply with the law, the public officer or public employee may be personally subject to a civil penalty of up to $50,000. If the public officer or employee is found not guilty, they do not have their court costs and attorney’s fees covered; if the court finds in favor of the attorney general, then their court costs and attorney’s fees must be covered. </w:t>
      </w:r>
    </w:p>
    <w:p w:rsidR="00000000" w:rsidDel="00000000" w:rsidP="00000000" w:rsidRDefault="00000000" w:rsidRPr="00000000" w14:paraId="00000044">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5">
      <w:pPr>
        <w:numPr>
          <w:ilvl w:val="0"/>
          <w:numId w:val="5"/>
        </w:numPr>
        <w:spacing w:line="240" w:lineRule="auto"/>
        <w:ind w:left="1800" w:right="-547" w:hanging="360"/>
        <w:rPr>
          <w:rFonts w:ascii="EB Garamond" w:cs="EB Garamond" w:eastAsia="EB Garamond" w:hAnsi="EB Garamond"/>
          <w:sz w:val="6"/>
          <w:szCs w:val="6"/>
        </w:rPr>
      </w:pPr>
      <w:hyperlink r:id="rId20">
        <w:r w:rsidDel="00000000" w:rsidR="00000000" w:rsidRPr="00000000">
          <w:rPr>
            <w:rFonts w:ascii="EB Garamond" w:cs="EB Garamond" w:eastAsia="EB Garamond" w:hAnsi="EB Garamond"/>
            <w:b w:val="1"/>
            <w:bCs w:val="1"/>
            <w:color w:val="1155cc"/>
            <w:u w:val="single"/>
            <w:rtl w:val="0"/>
          </w:rPr>
          <w:t xml:space="preserve">S1287</w:t>
        </w:r>
      </w:hyperlink>
      <w:r w:rsidDel="00000000" w:rsidR="00000000" w:rsidRPr="00000000">
        <w:rPr>
          <w:rFonts w:ascii="EB Garamond" w:cs="EB Garamond" w:eastAsia="EB Garamond" w:hAnsi="EB Garamond"/>
          <w:b w:val="1"/>
          <w:bCs w:val="1"/>
          <w:rtl w:val="0"/>
        </w:rPr>
        <w:t xml:space="preserve"> | Public Rights-of-Way</w:t>
      </w:r>
      <w:r w:rsidDel="00000000" w:rsidR="00000000" w:rsidRPr="00000000">
        <w:rPr>
          <w:rFonts w:ascii="EB Garamond" w:cs="EB Garamond" w:eastAsia="EB Garamond" w:hAnsi="EB Garamond"/>
          <w:rtl w:val="0"/>
        </w:rPr>
        <w:t xml:space="preserve"> </w:t>
      </w:r>
    </w:p>
    <w:p w:rsidR="00000000" w:rsidDel="00000000" w:rsidP="00000000" w:rsidRDefault="00000000" w:rsidRPr="00000000" w14:paraId="00000046">
      <w:pPr>
        <w:numPr>
          <w:ilvl w:val="0"/>
          <w:numId w:val="1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Had a hearing yesterday and the sponsor asked for it to go to the amending order. The sponsor wanted a hearing so he could receive feedback on how to fix the bill. Sara and Nick Veldhouse (Director of IAHD) will meet with the sponsor to discuss the best way to move forward with this legislation, but this bill will likely not move forward this year.</w:t>
      </w:r>
    </w:p>
    <w:p w:rsidR="00000000" w:rsidDel="00000000" w:rsidP="00000000" w:rsidRDefault="00000000" w:rsidRPr="00000000" w14:paraId="00000047">
      <w:pPr>
        <w:spacing w:line="240" w:lineRule="auto"/>
        <w:ind w:left="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8">
      <w:pPr>
        <w:numPr>
          <w:ilvl w:val="0"/>
          <w:numId w:val="5"/>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Solar, Wind, &amp; Geothermal Tax </w:t>
      </w:r>
      <w:r w:rsidDel="00000000" w:rsidR="00000000" w:rsidRPr="00000000">
        <w:rPr>
          <w:rFonts w:ascii="EB Garamond" w:cs="EB Garamond" w:eastAsia="EB Garamond" w:hAnsi="EB Garamond"/>
          <w:b w:val="1"/>
          <w:bCs w:val="1"/>
          <w:i w:val="1"/>
          <w:iCs w:val="1"/>
          <w:rtl w:val="0"/>
        </w:rPr>
        <w:t xml:space="preserve">(draft available) </w:t>
      </w:r>
      <w:r w:rsidDel="00000000" w:rsidR="00000000" w:rsidRPr="00000000">
        <w:rPr>
          <w:rFonts w:ascii="EB Garamond" w:cs="EB Garamond" w:eastAsia="EB Garamond" w:hAnsi="EB Garamond"/>
          <w:b w:val="1"/>
          <w:bCs w:val="1"/>
          <w:rtl w:val="0"/>
        </w:rPr>
        <w:t xml:space="preserve">(OPPOSE)</w:t>
      </w:r>
    </w:p>
    <w:p w:rsidR="00000000" w:rsidDel="00000000" w:rsidP="00000000" w:rsidRDefault="00000000" w:rsidRPr="00000000" w14:paraId="00000049">
      <w:pPr>
        <w:numPr>
          <w:ilvl w:val="0"/>
          <w:numId w:val="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Renewable energy northwest is a group who is wanting to amend the statute to essentially provide, in their view, more funding to local governments as these types of technologies are developed. There is some concern with what they want to do. Currently if it is geothermal or wind, that money goes into the county budget above and beyond the property tax budget, whereas solar is the reverse. This proposal would essentially adjust the tax rate on solar from 3.5% to 3.0%, which would align with the rate for wind and geothermal. Any wind or geothermal currently in operation would stay the same, but any new geothermal or wind development, ⅔ of that money would go to the budget and ⅓ would go to reducing property tax budgets.</w:t>
      </w:r>
    </w:p>
    <w:p w:rsidR="00000000" w:rsidDel="00000000" w:rsidP="00000000" w:rsidRDefault="00000000" w:rsidRPr="00000000" w14:paraId="0000004A">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i w:val="1"/>
          <w:iCs w:val="1"/>
          <w:rtl w:val="0"/>
        </w:rPr>
        <w:t xml:space="preserve">Annette Dygert motioned to oppose the Solar, Wind &amp; Geothermal Tax as written, seconded by Minidoka Commissioner Jared Orton. Motion passed.</w:t>
      </w:r>
    </w:p>
    <w:p w:rsidR="00000000" w:rsidDel="00000000" w:rsidP="00000000" w:rsidRDefault="00000000" w:rsidRPr="00000000" w14:paraId="0000004B">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C">
      <w:pPr>
        <w:numPr>
          <w:ilvl w:val="0"/>
          <w:numId w:val="5"/>
        </w:numPr>
        <w:spacing w:line="240" w:lineRule="auto"/>
        <w:ind w:left="1800" w:right="-547" w:hanging="360"/>
        <w:rPr>
          <w:rFonts w:ascii="EB Garamond" w:cs="EB Garamond" w:eastAsia="EB Garamond" w:hAnsi="EB Garamond"/>
          <w:sz w:val="6"/>
          <w:szCs w:val="6"/>
        </w:rPr>
      </w:pPr>
      <w:hyperlink r:id="rId21">
        <w:r w:rsidDel="00000000" w:rsidR="00000000" w:rsidRPr="00000000">
          <w:rPr>
            <w:rFonts w:ascii="EB Garamond" w:cs="EB Garamond" w:eastAsia="EB Garamond" w:hAnsi="EB Garamond"/>
            <w:b w:val="1"/>
            <w:bCs w:val="1"/>
            <w:color w:val="1155cc"/>
            <w:u w:val="single"/>
            <w:rtl w:val="0"/>
          </w:rPr>
          <w:t xml:space="preserve">H0638</w:t>
        </w:r>
      </w:hyperlink>
      <w:r w:rsidDel="00000000" w:rsidR="00000000" w:rsidRPr="00000000">
        <w:rPr>
          <w:rFonts w:ascii="EB Garamond" w:cs="EB Garamond" w:eastAsia="EB Garamond" w:hAnsi="EB Garamond"/>
          <w:b w:val="1"/>
          <w:bCs w:val="1"/>
          <w:rtl w:val="0"/>
        </w:rPr>
        <w:t xml:space="preserve"> | Presidential Primary Elections (OPPOSE)</w:t>
      </w:r>
    </w:p>
    <w:p w:rsidR="00000000" w:rsidDel="00000000" w:rsidP="00000000" w:rsidRDefault="00000000" w:rsidRPr="00000000" w14:paraId="0000004D">
      <w:pPr>
        <w:numPr>
          <w:ilvl w:val="0"/>
          <w:numId w:val="5"/>
        </w:numPr>
        <w:spacing w:line="240" w:lineRule="auto"/>
        <w:ind w:left="1800" w:right="-547" w:hanging="360"/>
        <w:rPr>
          <w:rFonts w:ascii="EB Garamond" w:cs="EB Garamond" w:eastAsia="EB Garamond" w:hAnsi="EB Garamond"/>
          <w:sz w:val="6"/>
          <w:szCs w:val="6"/>
        </w:rPr>
      </w:pPr>
      <w:hyperlink r:id="rId22">
        <w:r w:rsidDel="00000000" w:rsidR="00000000" w:rsidRPr="00000000">
          <w:rPr>
            <w:rFonts w:ascii="EB Garamond" w:cs="EB Garamond" w:eastAsia="EB Garamond" w:hAnsi="EB Garamond"/>
            <w:b w:val="1"/>
            <w:bCs w:val="1"/>
            <w:color w:val="1155cc"/>
            <w:u w:val="single"/>
            <w:rtl w:val="0"/>
          </w:rPr>
          <w:t xml:space="preserve">S1366</w:t>
        </w:r>
      </w:hyperlink>
      <w:r w:rsidDel="00000000" w:rsidR="00000000" w:rsidRPr="00000000">
        <w:rPr>
          <w:rFonts w:ascii="EB Garamond" w:cs="EB Garamond" w:eastAsia="EB Garamond" w:hAnsi="EB Garamond"/>
          <w:b w:val="1"/>
          <w:bCs w:val="1"/>
          <w:rtl w:val="0"/>
        </w:rPr>
        <w:t xml:space="preserve"> | Primary Elections (SUPPORT)</w:t>
      </w:r>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4E">
      <w:pPr>
        <w:spacing w:line="240" w:lineRule="auto"/>
        <w:ind w:left="1800" w:right="-547" w:firstLine="0"/>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4F">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Canyon Commissioner Zach Brooks motioned to oppose H0638 and support S1366, seconded by Owyhee Treasurer Annette Dygert. Motion passed.</w:t>
      </w:r>
    </w:p>
    <w:p w:rsidR="00000000" w:rsidDel="00000000" w:rsidP="00000000" w:rsidRDefault="00000000" w:rsidRPr="00000000" w14:paraId="00000050">
      <w:pPr>
        <w:spacing w:line="240" w:lineRule="auto"/>
        <w:ind w:left="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1">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12:00pm</w:t>
      </w:r>
      <w:r w:rsidDel="00000000" w:rsidR="00000000" w:rsidRPr="00000000">
        <w:rPr>
          <w:rtl w:val="0"/>
        </w:rPr>
      </w:r>
    </w:p>
    <w:p w:rsidR="00000000" w:rsidDel="00000000" w:rsidP="00000000" w:rsidRDefault="00000000" w:rsidRPr="00000000" w14:paraId="0000005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4">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5">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5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57">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58">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5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5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5C">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5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5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60">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61">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6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6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6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6">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Zach Brooks</w:t>
            </w:r>
          </w:p>
          <w:p w:rsidR="00000000" w:rsidDel="00000000" w:rsidP="00000000" w:rsidRDefault="00000000" w:rsidRPr="00000000" w14:paraId="0000006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6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Ben Crouch</w:t>
            </w:r>
          </w:p>
          <w:p w:rsidR="00000000" w:rsidDel="00000000" w:rsidP="00000000" w:rsidRDefault="00000000" w:rsidRPr="00000000" w14:paraId="0000006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6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D">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w:t>
            </w:r>
          </w:p>
          <w:p w:rsidR="00000000" w:rsidDel="00000000" w:rsidP="00000000" w:rsidRDefault="00000000" w:rsidRPr="00000000" w14:paraId="0000006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70">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7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7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4">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7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76">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78">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79">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A">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7B">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7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7E">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8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8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8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5">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86">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87">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89">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8A">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8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8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8E">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9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9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9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9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6">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97">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99">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9A">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9C">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9D">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9F">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A0">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Kim Keeley</w:t>
            </w:r>
          </w:p>
          <w:p w:rsidR="00000000" w:rsidDel="00000000" w:rsidP="00000000" w:rsidRDefault="00000000" w:rsidRPr="00000000" w14:paraId="000000A2">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A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A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A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A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A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A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A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A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E">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AF">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0">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1">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B2">
      <w:pPr>
        <w:spacing w:line="240" w:lineRule="auto"/>
        <w:ind w:right="-547"/>
        <w:rPr/>
      </w:pPr>
      <w:r w:rsidDel="00000000" w:rsidR="00000000" w:rsidRPr="00000000">
        <w:rPr>
          <w:rtl w:val="0"/>
        </w:rPr>
      </w:r>
    </w:p>
    <w:p w:rsidR="00000000" w:rsidDel="00000000" w:rsidP="00000000" w:rsidRDefault="00000000" w:rsidRPr="00000000" w14:paraId="000000B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4">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5">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B6">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B7">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B8">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Robert Berry</w:t>
      </w:r>
    </w:p>
    <w:p w:rsidR="00000000" w:rsidDel="00000000" w:rsidP="00000000" w:rsidRDefault="00000000" w:rsidRPr="00000000" w14:paraId="000000B9">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Tom Lamar</w:t>
      </w:r>
    </w:p>
    <w:p w:rsidR="00000000" w:rsidDel="00000000" w:rsidP="00000000" w:rsidRDefault="00000000" w:rsidRPr="00000000" w14:paraId="000000BA">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Brian Naugle - IPAA</w:t>
      </w:r>
    </w:p>
    <w:p w:rsidR="00000000" w:rsidDel="00000000" w:rsidP="00000000" w:rsidRDefault="00000000" w:rsidRPr="00000000" w14:paraId="000000BB">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BC">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BD">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BE">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BF">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2" name="image1.png"/>
          <a:graphic>
            <a:graphicData uri="http://schemas.openxmlformats.org/drawingml/2006/picture">
              <pic:pic>
                <pic:nvPicPr>
                  <pic:cNvPr id="0" name="image1.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S1287" TargetMode="External"/><Relationship Id="rId22" Type="http://schemas.openxmlformats.org/officeDocument/2006/relationships/hyperlink" Target="https://legislature.idaho.gov/wp-content/uploads/sessioninfo/2026/legislation/S1366.pdf" TargetMode="External"/><Relationship Id="rId21" Type="http://schemas.openxmlformats.org/officeDocument/2006/relationships/hyperlink" Target="https://legislature.idaho.gov/wp-content/uploads/sessioninfo/2026/legislation/H0638.pdf"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791/"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egislature.idaho.gov/sessioninfo/2026/legislation/H0556/" TargetMode="External"/><Relationship Id="rId7" Type="http://schemas.openxmlformats.org/officeDocument/2006/relationships/hyperlink" Target="https://legislature.idaho.gov/sessioninfo/2026/legislation/H0620/" TargetMode="External"/><Relationship Id="rId8" Type="http://schemas.openxmlformats.org/officeDocument/2006/relationships/hyperlink" Target="https://legislature.idaho.gov/sessioninfo/2026/legislation/H0781/" TargetMode="External"/><Relationship Id="rId11" Type="http://schemas.openxmlformats.org/officeDocument/2006/relationships/hyperlink" Target="https://legislature.idaho.gov/sessioninfo/2026/legislation/H0801/" TargetMode="External"/><Relationship Id="rId10" Type="http://schemas.openxmlformats.org/officeDocument/2006/relationships/hyperlink" Target="https://legislature.idaho.gov/sessioninfo/2026/legislation/H0800/" TargetMode="External"/><Relationship Id="rId13" Type="http://schemas.openxmlformats.org/officeDocument/2006/relationships/hyperlink" Target="https://legislature.idaho.gov/sessioninfo/2026/legislation/H0804/" TargetMode="External"/><Relationship Id="rId12" Type="http://schemas.openxmlformats.org/officeDocument/2006/relationships/hyperlink" Target="https://legislature.idaho.gov/sessioninfo/2026/legislation/H0802/" TargetMode="External"/><Relationship Id="rId15" Type="http://schemas.openxmlformats.org/officeDocument/2006/relationships/hyperlink" Target="https://legislature.idaho.gov/sessioninfo/2026/legislation/S1271/" TargetMode="External"/><Relationship Id="rId14" Type="http://schemas.openxmlformats.org/officeDocument/2006/relationships/hyperlink" Target="https://legislature.idaho.gov/sessioninfo/2026/legislation/H0811/" TargetMode="External"/><Relationship Id="rId17" Type="http://schemas.openxmlformats.org/officeDocument/2006/relationships/hyperlink" Target="https://legislature.idaho.gov/sessioninfo/2026/legislation/S1355/" TargetMode="External"/><Relationship Id="rId16" Type="http://schemas.openxmlformats.org/officeDocument/2006/relationships/hyperlink" Target="https://legislature.idaho.gov/sessioninfo/2026/legislation/S1344/" TargetMode="External"/><Relationship Id="rId19" Type="http://schemas.openxmlformats.org/officeDocument/2006/relationships/hyperlink" Target="https://legislature.idaho.gov/sessioninfo/2026/legislation/H0743/" TargetMode="External"/><Relationship Id="rId18" Type="http://schemas.openxmlformats.org/officeDocument/2006/relationships/hyperlink" Target="https://legislature.idaho.gov/sessioninfo/2026/legislation/H08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