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2">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3">
      <w:pPr>
        <w:tabs>
          <w:tab w:val="center" w:leader="none" w:pos="4680"/>
          <w:tab w:val="right" w:leader="none" w:pos="9360"/>
        </w:tabs>
        <w:spacing w:after="120" w:lineRule="auto"/>
        <w:rPr>
          <w:rFonts w:ascii="Avenir" w:cs="Avenir" w:eastAsia="Avenir" w:hAnsi="Avenir"/>
          <w:sz w:val="26"/>
          <w:szCs w:val="26"/>
        </w:rPr>
      </w:pPr>
      <w:bookmarkStart w:colFirst="0" w:colLast="0" w:name="_heading=h.22n7mzlkprzo" w:id="0"/>
      <w:bookmarkEnd w:id="0"/>
      <w:r w:rsidDel="00000000" w:rsidR="00000000" w:rsidRPr="00000000">
        <w:rPr>
          <w:rFonts w:ascii="Avenir" w:cs="Avenir" w:eastAsia="Avenir" w:hAnsi="Avenir"/>
          <w:b w:val="1"/>
          <w:bCs w:val="1"/>
          <w:sz w:val="36"/>
          <w:szCs w:val="36"/>
          <w:rtl w:val="0"/>
        </w:rPr>
        <w:tab/>
        <w:t xml:space="preserve">IAC Legislative Committee</w:t>
      </w:r>
      <w:r w:rsidDel="00000000" w:rsidR="00000000" w:rsidRPr="00000000">
        <w:rPr>
          <w:rtl w:val="0"/>
        </w:rPr>
      </w:r>
    </w:p>
    <w:p w:rsidR="00000000" w:rsidDel="00000000" w:rsidP="00000000" w:rsidRDefault="00000000" w:rsidRPr="00000000" w14:paraId="00000004">
      <w:pPr>
        <w:tabs>
          <w:tab w:val="center" w:leader="none" w:pos="4680"/>
          <w:tab w:val="right" w:leader="none" w:pos="9360"/>
        </w:tabs>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February 25th, 2026 | 10:00 am – 1:00 pm MST</w:t>
      </w:r>
    </w:p>
    <w:p w:rsidR="00000000" w:rsidDel="00000000" w:rsidP="00000000" w:rsidRDefault="00000000" w:rsidRPr="00000000" w14:paraId="00000005">
      <w:pPr>
        <w:pBdr>
          <w:bottom w:color="000000" w:space="1" w:sz="6" w:val="dotted"/>
        </w:pBdr>
        <w:tabs>
          <w:tab w:val="center" w:leader="none" w:pos="4680"/>
          <w:tab w:val="right" w:leader="none" w:pos="9360"/>
        </w:tabs>
        <w:spacing w:after="120" w:lineRule="auto"/>
        <w:jc w:val="center"/>
        <w:rPr/>
      </w:pPr>
      <w:bookmarkStart w:colFirst="0" w:colLast="0" w:name="_heading=h.3kf5jlsfyyte" w:id="1"/>
      <w:bookmarkEnd w:id="1"/>
      <w:r w:rsidDel="00000000" w:rsidR="00000000" w:rsidRPr="00000000">
        <w:rPr>
          <w:rtl w:val="0"/>
        </w:rPr>
        <w:t xml:space="preserve">700 W. Washington St. | Boise, ID</w:t>
      </w:r>
    </w:p>
    <w:p w:rsidR="00000000" w:rsidDel="00000000" w:rsidP="00000000" w:rsidRDefault="00000000" w:rsidRPr="00000000" w14:paraId="00000006">
      <w:pPr>
        <w:pBdr>
          <w:bottom w:color="000000" w:space="1" w:sz="6" w:val="dotted"/>
        </w:pBdr>
        <w:tabs>
          <w:tab w:val="center" w:leader="none" w:pos="4680"/>
          <w:tab w:val="right" w:leader="none" w:pos="9360"/>
        </w:tabs>
        <w:spacing w:after="120" w:lineRule="auto"/>
        <w:jc w:val="center"/>
        <w:rPr>
          <w:rFonts w:ascii="Special Elite" w:cs="Special Elite" w:eastAsia="Special Elite" w:hAnsi="Special Elite"/>
          <w:b w:val="1"/>
          <w:bCs w:val="1"/>
          <w:sz w:val="22"/>
          <w:szCs w:val="22"/>
        </w:rPr>
      </w:pPr>
      <w:r w:rsidDel="00000000" w:rsidR="00000000" w:rsidRPr="00000000">
        <w:rPr>
          <w:rFonts w:ascii="Avenir" w:cs="Avenir" w:eastAsia="Avenir" w:hAnsi="Avenir"/>
          <w:b w:val="1"/>
          <w:bCs w:val="1"/>
          <w:smallCaps w:val="1"/>
          <w:sz w:val="28"/>
          <w:szCs w:val="28"/>
          <w:rtl w:val="0"/>
        </w:rPr>
        <w:t xml:space="preserve">Meeting Agenda</w:t>
      </w:r>
      <w:r w:rsidDel="00000000" w:rsidR="00000000" w:rsidRPr="00000000">
        <w:rPr>
          <w:rtl w:val="0"/>
        </w:rPr>
      </w:r>
    </w:p>
    <w:p w:rsidR="00000000" w:rsidDel="00000000" w:rsidP="00000000" w:rsidRDefault="00000000" w:rsidRPr="00000000" w14:paraId="00000007">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8">
      <w:pPr>
        <w:ind w:left="-634" w:right="-547" w:firstLine="634"/>
        <w:rPr>
          <w:rFonts w:ascii="EB Garamond" w:cs="EB Garamond" w:eastAsia="EB Garamond" w:hAnsi="EB Garamond"/>
          <w:b w:val="1"/>
          <w:bCs w:val="1"/>
          <w:sz w:val="22"/>
          <w:szCs w:val="22"/>
        </w:rPr>
      </w:pPr>
      <w:r w:rsidDel="00000000" w:rsidR="00000000" w:rsidRPr="00000000">
        <w:rPr>
          <w:rFonts w:ascii="EB Garamond" w:cs="EB Garamond" w:eastAsia="EB Garamond" w:hAnsi="EB Garamond"/>
          <w:sz w:val="22"/>
          <w:szCs w:val="22"/>
          <w:rtl w:val="0"/>
        </w:rPr>
        <w:t xml:space="preserve">10:00 am                </w:t>
      </w:r>
      <w:r w:rsidDel="00000000" w:rsidR="00000000" w:rsidRPr="00000000">
        <w:rPr>
          <w:rFonts w:ascii="EB Garamond" w:cs="EB Garamond" w:eastAsia="EB Garamond" w:hAnsi="EB Garamond"/>
          <w:b w:val="1"/>
          <w:bCs w:val="1"/>
          <w:sz w:val="22"/>
          <w:szCs w:val="22"/>
          <w:rtl w:val="0"/>
        </w:rPr>
        <w:t xml:space="preserve">Call to Order | </w:t>
      </w:r>
      <w:r w:rsidDel="00000000" w:rsidR="00000000" w:rsidRPr="00000000">
        <w:rPr>
          <w:rFonts w:ascii="EB Garamond" w:cs="EB Garamond" w:eastAsia="EB Garamond" w:hAnsi="EB Garamond"/>
          <w:b w:val="1"/>
          <w:bCs w:val="1"/>
          <w:i w:val="1"/>
          <w:iCs w:val="1"/>
          <w:sz w:val="22"/>
          <w:szCs w:val="22"/>
          <w:rtl w:val="0"/>
        </w:rPr>
        <w:t xml:space="preserve">Chair Tom Dayley</w:t>
      </w:r>
      <w:r w:rsidDel="00000000" w:rsidR="00000000" w:rsidRPr="00000000">
        <w:rPr>
          <w:rtl w:val="0"/>
        </w:rPr>
      </w:r>
    </w:p>
    <w:p w:rsidR="00000000" w:rsidDel="00000000" w:rsidP="00000000" w:rsidRDefault="00000000" w:rsidRPr="00000000" w14:paraId="00000009">
      <w:pPr>
        <w:numPr>
          <w:ilvl w:val="0"/>
          <w:numId w:val="2"/>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Welcome</w:t>
      </w:r>
      <w:r w:rsidDel="00000000" w:rsidR="00000000" w:rsidRPr="00000000">
        <w:rPr>
          <w:rtl w:val="0"/>
        </w:rPr>
      </w:r>
    </w:p>
    <w:p w:rsidR="00000000" w:rsidDel="00000000" w:rsidP="00000000" w:rsidRDefault="00000000" w:rsidRPr="00000000" w14:paraId="0000000A">
      <w:pPr>
        <w:numPr>
          <w:ilvl w:val="0"/>
          <w:numId w:val="2"/>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Approve February 18th, 2026 Minutes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sz w:val="22"/>
          <w:szCs w:val="22"/>
          <w:rtl w:val="0"/>
        </w:rPr>
        <w:br w:type="textWrapping"/>
      </w:r>
      <w:r w:rsidDel="00000000" w:rsidR="00000000" w:rsidRPr="00000000">
        <w:rPr>
          <w:rtl w:val="0"/>
        </w:rPr>
      </w:r>
    </w:p>
    <w:p w:rsidR="00000000" w:rsidDel="00000000" w:rsidP="00000000" w:rsidRDefault="00000000" w:rsidRPr="00000000" w14:paraId="0000000B">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10:05 am </w:t>
        <w:tab/>
      </w:r>
      <w:r w:rsidDel="00000000" w:rsidR="00000000" w:rsidRPr="00000000">
        <w:rPr>
          <w:rFonts w:ascii="EB Garamond" w:cs="EB Garamond" w:eastAsia="EB Garamond" w:hAnsi="EB Garamond"/>
          <w:b w:val="1"/>
          <w:bCs w:val="1"/>
          <w:sz w:val="22"/>
          <w:szCs w:val="22"/>
          <w:rtl w:val="0"/>
        </w:rPr>
        <w:t xml:space="preserve">Priorities</w:t>
      </w:r>
      <w:r w:rsidDel="00000000" w:rsidR="00000000" w:rsidRPr="00000000">
        <w:rPr>
          <w:rtl w:val="0"/>
        </w:rPr>
      </w:r>
    </w:p>
    <w:p w:rsidR="00000000" w:rsidDel="00000000" w:rsidP="00000000" w:rsidRDefault="00000000" w:rsidRPr="00000000" w14:paraId="0000000C">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Increase Fiscal Transparency and Accountability</w:t>
      </w:r>
      <w:r w:rsidDel="00000000" w:rsidR="00000000" w:rsidRPr="00000000">
        <w:rPr>
          <w:rtl w:val="0"/>
        </w:rPr>
      </w:r>
    </w:p>
    <w:p w:rsidR="00000000" w:rsidDel="00000000" w:rsidP="00000000" w:rsidRDefault="00000000" w:rsidRPr="00000000" w14:paraId="0000000D">
      <w:pPr>
        <w:numPr>
          <w:ilvl w:val="1"/>
          <w:numId w:val="1"/>
        </w:numPr>
        <w:ind w:left="2880" w:right="-547" w:hanging="360"/>
        <w:rPr>
          <w:rFonts w:ascii="EB Garamond" w:cs="EB Garamond" w:eastAsia="EB Garamond" w:hAnsi="EB Garamond"/>
          <w:sz w:val="22"/>
          <w:szCs w:val="22"/>
        </w:rPr>
      </w:pPr>
      <w:hyperlink r:id="rId7">
        <w:r w:rsidDel="00000000" w:rsidR="00000000" w:rsidRPr="00000000">
          <w:rPr>
            <w:rFonts w:ascii="EB Garamond" w:cs="EB Garamond" w:eastAsia="EB Garamond" w:hAnsi="EB Garamond"/>
            <w:color w:val="1155cc"/>
            <w:sz w:val="22"/>
            <w:szCs w:val="22"/>
            <w:u w:val="single"/>
            <w:rtl w:val="0"/>
          </w:rPr>
          <w:t xml:space="preserve">H0556</w:t>
        </w:r>
      </w:hyperlink>
      <w:r w:rsidDel="00000000" w:rsidR="00000000" w:rsidRPr="00000000">
        <w:rPr>
          <w:rFonts w:ascii="EB Garamond" w:cs="EB Garamond" w:eastAsia="EB Garamond" w:hAnsi="EB Garamond"/>
          <w:sz w:val="22"/>
          <w:szCs w:val="22"/>
          <w:rtl w:val="0"/>
        </w:rPr>
        <w:t xml:space="preserve"> | State funding for state inmates in county jails (Kelli)</w:t>
      </w:r>
    </w:p>
    <w:p w:rsidR="00000000" w:rsidDel="00000000" w:rsidP="00000000" w:rsidRDefault="00000000" w:rsidRPr="00000000" w14:paraId="0000000E">
      <w:pPr>
        <w:numPr>
          <w:ilvl w:val="1"/>
          <w:numId w:val="1"/>
        </w:numPr>
        <w:ind w:left="2880" w:right="-547" w:hanging="36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NextGen e911 fees to cover the full cost of service </w:t>
      </w:r>
      <w:r w:rsidDel="00000000" w:rsidR="00000000" w:rsidRPr="00000000">
        <w:rPr>
          <w:rFonts w:ascii="EB Garamond" w:cs="EB Garamond" w:eastAsia="EB Garamond" w:hAnsi="EB Garamond"/>
          <w:i w:val="1"/>
          <w:iCs w:val="1"/>
          <w:sz w:val="22"/>
          <w:szCs w:val="22"/>
          <w:rtl w:val="0"/>
        </w:rPr>
        <w:t xml:space="preserve">(draft available) (Kelli)</w:t>
      </w:r>
      <w:r w:rsidDel="00000000" w:rsidR="00000000" w:rsidRPr="00000000">
        <w:rPr>
          <w:rtl w:val="0"/>
        </w:rPr>
      </w:r>
    </w:p>
    <w:p w:rsidR="00000000" w:rsidDel="00000000" w:rsidP="00000000" w:rsidRDefault="00000000" w:rsidRPr="00000000" w14:paraId="0000000F">
      <w:pPr>
        <w:numPr>
          <w:ilvl w:val="1"/>
          <w:numId w:val="1"/>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Mandates  (Sara)</w:t>
      </w:r>
      <w:r w:rsidDel="00000000" w:rsidR="00000000" w:rsidRPr="00000000">
        <w:rPr>
          <w:rtl w:val="0"/>
        </w:rPr>
      </w:r>
    </w:p>
    <w:p w:rsidR="00000000" w:rsidDel="00000000" w:rsidP="00000000" w:rsidRDefault="00000000" w:rsidRPr="00000000" w14:paraId="00000010">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Diversify County Revenues</w:t>
      </w:r>
      <w:r w:rsidDel="00000000" w:rsidR="00000000" w:rsidRPr="00000000">
        <w:rPr>
          <w:rtl w:val="0"/>
        </w:rPr>
      </w:r>
    </w:p>
    <w:p w:rsidR="00000000" w:rsidDel="00000000" w:rsidP="00000000" w:rsidRDefault="00000000" w:rsidRPr="00000000" w14:paraId="00000011">
      <w:pPr>
        <w:numPr>
          <w:ilvl w:val="1"/>
          <w:numId w:val="1"/>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Lodging  (</w:t>
      </w:r>
      <w:r w:rsidDel="00000000" w:rsidR="00000000" w:rsidRPr="00000000">
        <w:rPr>
          <w:rFonts w:ascii="EB Garamond" w:cs="EB Garamond" w:eastAsia="EB Garamond" w:hAnsi="EB Garamond"/>
          <w:i w:val="1"/>
          <w:iCs w:val="1"/>
          <w:sz w:val="22"/>
          <w:szCs w:val="22"/>
          <w:rtl w:val="0"/>
        </w:rPr>
        <w:t xml:space="preserve">draft available) </w:t>
      </w:r>
      <w:r w:rsidDel="00000000" w:rsidR="00000000" w:rsidRPr="00000000">
        <w:rPr>
          <w:rFonts w:ascii="EB Garamond" w:cs="EB Garamond" w:eastAsia="EB Garamond" w:hAnsi="EB Garamond"/>
          <w:sz w:val="22"/>
          <w:szCs w:val="22"/>
          <w:rtl w:val="0"/>
        </w:rPr>
        <w:t xml:space="preserve"> and local option taxes to pay for county courthouses and jails, and reduce over-reliance on property taxes to stop trickle-down tax shifts to homeowners, farmers, and small businesses (Sara)</w:t>
      </w:r>
      <w:r w:rsidDel="00000000" w:rsidR="00000000" w:rsidRPr="00000000">
        <w:rPr>
          <w:rtl w:val="0"/>
        </w:rPr>
      </w:r>
    </w:p>
    <w:p w:rsidR="00000000" w:rsidDel="00000000" w:rsidP="00000000" w:rsidRDefault="00000000" w:rsidRPr="00000000" w14:paraId="00000012">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Strengthen Local Choices in Federal Land Use Decisions</w:t>
      </w:r>
      <w:r w:rsidDel="00000000" w:rsidR="00000000" w:rsidRPr="00000000">
        <w:rPr>
          <w:rtl w:val="0"/>
        </w:rPr>
      </w:r>
    </w:p>
    <w:p w:rsidR="00000000" w:rsidDel="00000000" w:rsidP="00000000" w:rsidRDefault="00000000" w:rsidRPr="00000000" w14:paraId="00000013">
      <w:pPr>
        <w:numPr>
          <w:ilvl w:val="1"/>
          <w:numId w:val="1"/>
        </w:numPr>
        <w:ind w:left="2880" w:right="-547" w:hanging="360"/>
        <w:rPr>
          <w:rFonts w:ascii="EB Garamond" w:cs="EB Garamond" w:eastAsia="EB Garamond" w:hAnsi="EB Garamond"/>
          <w:sz w:val="22"/>
          <w:szCs w:val="22"/>
          <w:u w:val="none"/>
        </w:rPr>
      </w:pPr>
      <w:hyperlink r:id="rId8">
        <w:r w:rsidDel="00000000" w:rsidR="00000000" w:rsidRPr="00000000">
          <w:rPr>
            <w:rFonts w:ascii="EB Garamond" w:cs="EB Garamond" w:eastAsia="EB Garamond" w:hAnsi="EB Garamond"/>
            <w:color w:val="1155cc"/>
            <w:sz w:val="22"/>
            <w:szCs w:val="22"/>
            <w:u w:val="single"/>
            <w:rtl w:val="0"/>
          </w:rPr>
          <w:t xml:space="preserve">H0620</w:t>
        </w:r>
      </w:hyperlink>
      <w:r w:rsidDel="00000000" w:rsidR="00000000" w:rsidRPr="00000000">
        <w:rPr>
          <w:rFonts w:ascii="EB Garamond" w:cs="EB Garamond" w:eastAsia="EB Garamond" w:hAnsi="EB Garamond"/>
          <w:sz w:val="22"/>
          <w:szCs w:val="22"/>
          <w:rtl w:val="0"/>
        </w:rPr>
        <w:t xml:space="preserve"> Amplify the voice of counties in federal land use decision-making by codifying the standing of county commissioners as local land use experts (Clay)</w:t>
      </w:r>
      <w:r w:rsidDel="00000000" w:rsidR="00000000" w:rsidRPr="00000000">
        <w:rPr>
          <w:rtl w:val="0"/>
        </w:rPr>
      </w:r>
    </w:p>
    <w:p w:rsidR="00000000" w:rsidDel="00000000" w:rsidP="00000000" w:rsidRDefault="00000000" w:rsidRPr="00000000" w14:paraId="00000014">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Enhance Public Transparency</w:t>
      </w:r>
      <w:r w:rsidDel="00000000" w:rsidR="00000000" w:rsidRPr="00000000">
        <w:rPr>
          <w:rtl w:val="0"/>
        </w:rPr>
      </w:r>
    </w:p>
    <w:p w:rsidR="00000000" w:rsidDel="00000000" w:rsidP="00000000" w:rsidRDefault="00000000" w:rsidRPr="00000000" w14:paraId="00000015">
      <w:pPr>
        <w:numPr>
          <w:ilvl w:val="1"/>
          <w:numId w:val="1"/>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Give counties the option to legally publish notices on their websites, providing free public notice of county actions instead of requiring publication in newspapers with declining circulation. </w:t>
      </w:r>
      <w:r w:rsidDel="00000000" w:rsidR="00000000" w:rsidRPr="00000000">
        <w:rPr>
          <w:rFonts w:ascii="EB Garamond" w:cs="EB Garamond" w:eastAsia="EB Garamond" w:hAnsi="EB Garamond"/>
          <w:i w:val="1"/>
          <w:iCs w:val="1"/>
          <w:sz w:val="22"/>
          <w:szCs w:val="22"/>
          <w:rtl w:val="0"/>
        </w:rPr>
        <w:t xml:space="preserve">(Sara)</w:t>
      </w:r>
      <w:r w:rsidDel="00000000" w:rsidR="00000000" w:rsidRPr="00000000">
        <w:rPr>
          <w:rtl w:val="0"/>
        </w:rPr>
      </w:r>
    </w:p>
    <w:p w:rsidR="00000000" w:rsidDel="00000000" w:rsidP="00000000" w:rsidRDefault="00000000" w:rsidRPr="00000000" w14:paraId="00000016">
      <w:pPr>
        <w:ind w:left="2880" w:right="-547" w:firstLine="0"/>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17">
      <w:pPr>
        <w:ind w:right="-547"/>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11:05 am</w:t>
        <w:tab/>
      </w:r>
      <w:r w:rsidDel="00000000" w:rsidR="00000000" w:rsidRPr="00000000">
        <w:rPr>
          <w:rFonts w:ascii="EB Garamond" w:cs="EB Garamond" w:eastAsia="EB Garamond" w:hAnsi="EB Garamond"/>
          <w:b w:val="1"/>
          <w:bCs w:val="1"/>
          <w:i w:val="1"/>
          <w:iCs w:val="1"/>
          <w:sz w:val="22"/>
          <w:szCs w:val="22"/>
          <w:rtl w:val="0"/>
        </w:rPr>
        <w:t xml:space="preserve">New Business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tl w:val="0"/>
        </w:rPr>
      </w:r>
    </w:p>
    <w:p w:rsidR="00000000" w:rsidDel="00000000" w:rsidP="00000000" w:rsidRDefault="00000000" w:rsidRPr="00000000" w14:paraId="00000018">
      <w:pPr>
        <w:numPr>
          <w:ilvl w:val="0"/>
          <w:numId w:val="3"/>
        </w:numPr>
        <w:ind w:left="1800" w:right="-547" w:hanging="360"/>
        <w:rPr>
          <w:rFonts w:ascii="EB Garamond" w:cs="EB Garamond" w:eastAsia="EB Garamond" w:hAnsi="EB Garamond"/>
        </w:rPr>
      </w:pPr>
      <w:hyperlink r:id="rId9">
        <w:r w:rsidDel="00000000" w:rsidR="00000000" w:rsidRPr="00000000">
          <w:rPr>
            <w:rFonts w:ascii="EB Garamond" w:cs="EB Garamond" w:eastAsia="EB Garamond" w:hAnsi="EB Garamond"/>
            <w:color w:val="1155cc"/>
            <w:sz w:val="22"/>
            <w:szCs w:val="22"/>
            <w:u w:val="single"/>
            <w:rtl w:val="0"/>
          </w:rPr>
          <w:t xml:space="preserve">H0743</w:t>
        </w:r>
      </w:hyperlink>
      <w:r w:rsidDel="00000000" w:rsidR="00000000" w:rsidRPr="00000000">
        <w:rPr>
          <w:rFonts w:ascii="EB Garamond" w:cs="EB Garamond" w:eastAsia="EB Garamond" w:hAnsi="EB Garamond"/>
          <w:sz w:val="22"/>
          <w:szCs w:val="22"/>
          <w:rtl w:val="0"/>
        </w:rPr>
        <w:t xml:space="preserve"> | AG New Powers (Sara)</w:t>
      </w:r>
      <w:r w:rsidDel="00000000" w:rsidR="00000000" w:rsidRPr="00000000">
        <w:rPr>
          <w:rtl w:val="0"/>
        </w:rPr>
      </w:r>
    </w:p>
    <w:p w:rsidR="00000000" w:rsidDel="00000000" w:rsidP="00000000" w:rsidRDefault="00000000" w:rsidRPr="00000000" w14:paraId="00000019">
      <w:pPr>
        <w:numPr>
          <w:ilvl w:val="0"/>
          <w:numId w:val="3"/>
        </w:numPr>
        <w:ind w:left="1800" w:right="-547" w:hanging="360"/>
        <w:rPr>
          <w:rFonts w:ascii="EB Garamond" w:cs="EB Garamond" w:eastAsia="EB Garamond" w:hAnsi="EB Garamond"/>
          <w:u w:val="none"/>
        </w:rPr>
      </w:pPr>
      <w:hyperlink r:id="rId10">
        <w:r w:rsidDel="00000000" w:rsidR="00000000" w:rsidRPr="00000000">
          <w:rPr>
            <w:rFonts w:ascii="EB Garamond" w:cs="EB Garamond" w:eastAsia="EB Garamond" w:hAnsi="EB Garamond"/>
            <w:color w:val="1155cc"/>
            <w:sz w:val="22"/>
            <w:szCs w:val="22"/>
            <w:u w:val="single"/>
            <w:rtl w:val="0"/>
          </w:rPr>
          <w:t xml:space="preserve">H0748</w:t>
        </w:r>
      </w:hyperlink>
      <w:r w:rsidDel="00000000" w:rsidR="00000000" w:rsidRPr="00000000">
        <w:rPr>
          <w:rFonts w:ascii="EB Garamond" w:cs="EB Garamond" w:eastAsia="EB Garamond" w:hAnsi="EB Garamond"/>
          <w:sz w:val="22"/>
          <w:szCs w:val="22"/>
          <w:rtl w:val="0"/>
        </w:rPr>
        <w:t xml:space="preserve"> | Public Records Act (Clay)</w:t>
      </w:r>
    </w:p>
    <w:p w:rsidR="00000000" w:rsidDel="00000000" w:rsidP="00000000" w:rsidRDefault="00000000" w:rsidRPr="00000000" w14:paraId="0000001A">
      <w:pPr>
        <w:numPr>
          <w:ilvl w:val="0"/>
          <w:numId w:val="3"/>
        </w:numPr>
        <w:ind w:left="1800" w:right="-547" w:hanging="360"/>
        <w:rPr>
          <w:rFonts w:ascii="EB Garamond" w:cs="EB Garamond" w:eastAsia="EB Garamond" w:hAnsi="EB Garamond"/>
          <w:u w:val="none"/>
        </w:rPr>
      </w:pPr>
      <w:hyperlink r:id="rId11">
        <w:r w:rsidDel="00000000" w:rsidR="00000000" w:rsidRPr="00000000">
          <w:rPr>
            <w:rFonts w:ascii="EB Garamond" w:cs="EB Garamond" w:eastAsia="EB Garamond" w:hAnsi="EB Garamond"/>
            <w:color w:val="1155cc"/>
            <w:sz w:val="22"/>
            <w:szCs w:val="22"/>
            <w:u w:val="single"/>
            <w:rtl w:val="0"/>
          </w:rPr>
          <w:t xml:space="preserve">H0760</w:t>
        </w:r>
      </w:hyperlink>
      <w:r w:rsidDel="00000000" w:rsidR="00000000" w:rsidRPr="00000000">
        <w:rPr>
          <w:rFonts w:ascii="EB Garamond" w:cs="EB Garamond" w:eastAsia="EB Garamond" w:hAnsi="EB Garamond"/>
          <w:sz w:val="22"/>
          <w:szCs w:val="22"/>
          <w:rtl w:val="0"/>
        </w:rPr>
        <w:t xml:space="preserve"> | Low-Income Housing, Non-Profit Orgs (Clay)</w:t>
      </w:r>
      <w:r w:rsidDel="00000000" w:rsidR="00000000" w:rsidRPr="00000000">
        <w:rPr>
          <w:rtl w:val="0"/>
        </w:rPr>
      </w:r>
    </w:p>
    <w:p w:rsidR="00000000" w:rsidDel="00000000" w:rsidP="00000000" w:rsidRDefault="00000000" w:rsidRPr="00000000" w14:paraId="0000001B">
      <w:pPr>
        <w:ind w:right="-547"/>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1C">
      <w:pPr>
        <w:ind w:left="0" w:right="-547" w:firstLine="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12:00 pm               </w:t>
      </w:r>
      <w:r w:rsidDel="00000000" w:rsidR="00000000" w:rsidRPr="00000000">
        <w:rPr>
          <w:rFonts w:ascii="EB Garamond" w:cs="EB Garamond" w:eastAsia="EB Garamond" w:hAnsi="EB Garamond"/>
          <w:b w:val="1"/>
          <w:bCs w:val="1"/>
          <w:i w:val="1"/>
          <w:iCs w:val="1"/>
          <w:sz w:val="22"/>
          <w:szCs w:val="22"/>
          <w:rtl w:val="0"/>
        </w:rPr>
        <w:t xml:space="preserve">Updates</w:t>
      </w:r>
      <w:r w:rsidDel="00000000" w:rsidR="00000000" w:rsidRPr="00000000">
        <w:rPr>
          <w:rtl w:val="0"/>
        </w:rPr>
      </w:r>
    </w:p>
    <w:p w:rsidR="00000000" w:rsidDel="00000000" w:rsidP="00000000" w:rsidRDefault="00000000" w:rsidRPr="00000000" w14:paraId="0000001D">
      <w:pPr>
        <w:numPr>
          <w:ilvl w:val="0"/>
          <w:numId w:val="3"/>
        </w:numPr>
        <w:ind w:left="1800" w:right="-547" w:hanging="360"/>
        <w:rPr>
          <w:rFonts w:ascii="EB Garamond" w:cs="EB Garamond" w:eastAsia="EB Garamond" w:hAnsi="EB Garamond"/>
        </w:rPr>
      </w:pPr>
      <w:hyperlink r:id="rId12">
        <w:r w:rsidDel="00000000" w:rsidR="00000000" w:rsidRPr="00000000">
          <w:rPr>
            <w:rFonts w:ascii="EB Garamond" w:cs="EB Garamond" w:eastAsia="EB Garamond" w:hAnsi="EB Garamond"/>
            <w:color w:val="1155cc"/>
            <w:sz w:val="22"/>
            <w:szCs w:val="22"/>
            <w:u w:val="single"/>
            <w:rtl w:val="0"/>
          </w:rPr>
          <w:t xml:space="preserve">H0643</w:t>
        </w:r>
      </w:hyperlink>
      <w:r w:rsidDel="00000000" w:rsidR="00000000" w:rsidRPr="00000000">
        <w:rPr>
          <w:rFonts w:ascii="EB Garamond" w:cs="EB Garamond" w:eastAsia="EB Garamond" w:hAnsi="EB Garamond"/>
          <w:sz w:val="22"/>
          <w:szCs w:val="22"/>
          <w:rtl w:val="0"/>
        </w:rPr>
        <w:t xml:space="preserve"> | Building Codes - Heat Device (Clay)</w:t>
      </w:r>
      <w:r w:rsidDel="00000000" w:rsidR="00000000" w:rsidRPr="00000000">
        <w:rPr>
          <w:rtl w:val="0"/>
        </w:rPr>
      </w:r>
    </w:p>
    <w:p w:rsidR="00000000" w:rsidDel="00000000" w:rsidP="00000000" w:rsidRDefault="00000000" w:rsidRPr="00000000" w14:paraId="0000001E">
      <w:pPr>
        <w:numPr>
          <w:ilvl w:val="0"/>
          <w:numId w:val="3"/>
        </w:numPr>
        <w:ind w:left="1800" w:right="-547" w:hanging="360"/>
        <w:rPr>
          <w:rFonts w:ascii="EB Garamond" w:cs="EB Garamond" w:eastAsia="EB Garamond" w:hAnsi="EB Garamond"/>
          <w:u w:val="none"/>
        </w:rPr>
      </w:pPr>
      <w:hyperlink r:id="rId13">
        <w:r w:rsidDel="00000000" w:rsidR="00000000" w:rsidRPr="00000000">
          <w:rPr>
            <w:rFonts w:ascii="EB Garamond" w:cs="EB Garamond" w:eastAsia="EB Garamond" w:hAnsi="EB Garamond"/>
            <w:color w:val="1155cc"/>
            <w:sz w:val="22"/>
            <w:szCs w:val="22"/>
            <w:u w:val="single"/>
            <w:rtl w:val="0"/>
          </w:rPr>
          <w:t xml:space="preserve">H0714</w:t>
        </w:r>
      </w:hyperlink>
      <w:r w:rsidDel="00000000" w:rsidR="00000000" w:rsidRPr="00000000">
        <w:rPr>
          <w:rFonts w:ascii="EB Garamond" w:cs="EB Garamond" w:eastAsia="EB Garamond" w:hAnsi="EB Garamond"/>
          <w:sz w:val="22"/>
          <w:szCs w:val="22"/>
          <w:rtl w:val="0"/>
        </w:rPr>
        <w:t xml:space="preserve"> | Hazardous Waste </w:t>
      </w:r>
      <w:r w:rsidDel="00000000" w:rsidR="00000000" w:rsidRPr="00000000">
        <w:rPr>
          <w:rFonts w:ascii="EB Garamond" w:cs="EB Garamond" w:eastAsia="EB Garamond" w:hAnsi="EB Garamond"/>
          <w:b w:val="1"/>
          <w:bCs w:val="1"/>
          <w:sz w:val="22"/>
          <w:szCs w:val="22"/>
          <w:rtl w:val="0"/>
        </w:rPr>
        <w:t xml:space="preserve">(OPPOSE) (</w:t>
      </w:r>
      <w:r w:rsidDel="00000000" w:rsidR="00000000" w:rsidRPr="00000000">
        <w:rPr>
          <w:rFonts w:ascii="EB Garamond" w:cs="EB Garamond" w:eastAsia="EB Garamond" w:hAnsi="EB Garamond"/>
          <w:sz w:val="22"/>
          <w:szCs w:val="22"/>
          <w:rtl w:val="0"/>
        </w:rPr>
        <w:t xml:space="preserve">Sara) recommend removing opposed position</w:t>
      </w:r>
    </w:p>
    <w:p w:rsidR="00000000" w:rsidDel="00000000" w:rsidP="00000000" w:rsidRDefault="00000000" w:rsidRPr="00000000" w14:paraId="0000001F">
      <w:pPr>
        <w:numPr>
          <w:ilvl w:val="0"/>
          <w:numId w:val="3"/>
        </w:numPr>
        <w:ind w:left="1800" w:right="-547" w:hanging="360"/>
        <w:rPr>
          <w:rFonts w:ascii="EB Garamond" w:cs="EB Garamond" w:eastAsia="EB Garamond" w:hAnsi="EB Garamond"/>
          <w:u w:val="none"/>
        </w:rPr>
      </w:pPr>
      <w:hyperlink r:id="rId14">
        <w:r w:rsidDel="00000000" w:rsidR="00000000" w:rsidRPr="00000000">
          <w:rPr>
            <w:rFonts w:ascii="EB Garamond" w:cs="EB Garamond" w:eastAsia="EB Garamond" w:hAnsi="EB Garamond"/>
            <w:color w:val="1155cc"/>
            <w:sz w:val="22"/>
            <w:szCs w:val="22"/>
            <w:u w:val="single"/>
            <w:rtl w:val="0"/>
          </w:rPr>
          <w:t xml:space="preserve">S1241</w:t>
        </w:r>
      </w:hyperlink>
      <w:r w:rsidDel="00000000" w:rsidR="00000000" w:rsidRPr="00000000">
        <w:rPr>
          <w:rFonts w:ascii="EB Garamond" w:cs="EB Garamond" w:eastAsia="EB Garamond" w:hAnsi="EB Garamond"/>
          <w:sz w:val="22"/>
          <w:szCs w:val="22"/>
          <w:rtl w:val="0"/>
        </w:rPr>
        <w:t xml:space="preserve"> | Protection of Working Animals</w:t>
      </w:r>
      <w:r w:rsidDel="00000000" w:rsidR="00000000" w:rsidRPr="00000000">
        <w:rPr>
          <w:rFonts w:ascii="EB Garamond" w:cs="EB Garamond" w:eastAsia="EB Garamond" w:hAnsi="EB Garamond"/>
          <w:b w:val="1"/>
          <w:bCs w:val="1"/>
          <w:sz w:val="22"/>
          <w:szCs w:val="22"/>
          <w:rtl w:val="0"/>
        </w:rPr>
        <w:t xml:space="preserve"> (OPPOSE) (</w:t>
      </w:r>
      <w:r w:rsidDel="00000000" w:rsidR="00000000" w:rsidRPr="00000000">
        <w:rPr>
          <w:rFonts w:ascii="EB Garamond" w:cs="EB Garamond" w:eastAsia="EB Garamond" w:hAnsi="EB Garamond"/>
          <w:sz w:val="22"/>
          <w:szCs w:val="22"/>
          <w:rtl w:val="0"/>
        </w:rPr>
        <w:t xml:space="preserve">Sara)</w:t>
      </w:r>
      <w:r w:rsidDel="00000000" w:rsidR="00000000" w:rsidRPr="00000000">
        <w:rPr>
          <w:rtl w:val="0"/>
        </w:rPr>
      </w:r>
    </w:p>
    <w:p w:rsidR="00000000" w:rsidDel="00000000" w:rsidP="00000000" w:rsidRDefault="00000000" w:rsidRPr="00000000" w14:paraId="00000020">
      <w:pPr>
        <w:numPr>
          <w:ilvl w:val="0"/>
          <w:numId w:val="3"/>
        </w:numPr>
        <w:ind w:left="1800" w:right="-547" w:hanging="360"/>
        <w:rPr>
          <w:rFonts w:ascii="EB Garamond" w:cs="EB Garamond" w:eastAsia="EB Garamond" w:hAnsi="EB Garamond"/>
          <w:u w:val="none"/>
        </w:rPr>
      </w:pPr>
      <w:hyperlink r:id="rId15">
        <w:r w:rsidDel="00000000" w:rsidR="00000000" w:rsidRPr="00000000">
          <w:rPr>
            <w:rFonts w:ascii="EB Garamond" w:cs="EB Garamond" w:eastAsia="EB Garamond" w:hAnsi="EB Garamond"/>
            <w:color w:val="1155cc"/>
            <w:sz w:val="22"/>
            <w:szCs w:val="22"/>
            <w:u w:val="single"/>
            <w:rtl w:val="0"/>
          </w:rPr>
          <w:t xml:space="preserve">S1277</w:t>
        </w:r>
      </w:hyperlink>
      <w:r w:rsidDel="00000000" w:rsidR="00000000" w:rsidRPr="00000000">
        <w:rPr>
          <w:rFonts w:ascii="EB Garamond" w:cs="EB Garamond" w:eastAsia="EB Garamond" w:hAnsi="EB Garamond"/>
          <w:sz w:val="22"/>
          <w:szCs w:val="22"/>
          <w:rtl w:val="0"/>
        </w:rPr>
        <w:t xml:space="preserve"> | ADUs </w:t>
      </w:r>
      <w:r w:rsidDel="00000000" w:rsidR="00000000" w:rsidRPr="00000000">
        <w:rPr>
          <w:rFonts w:ascii="EB Garamond" w:cs="EB Garamond" w:eastAsia="EB Garamond" w:hAnsi="EB Garamond"/>
          <w:b w:val="1"/>
          <w:bCs w:val="1"/>
          <w:sz w:val="22"/>
          <w:szCs w:val="22"/>
          <w:rtl w:val="0"/>
        </w:rPr>
        <w:t xml:space="preserve"> (OPPOSE) (Sara)</w:t>
      </w:r>
      <w:r w:rsidDel="00000000" w:rsidR="00000000" w:rsidRPr="00000000">
        <w:rPr>
          <w:rtl w:val="0"/>
        </w:rPr>
      </w:r>
    </w:p>
    <w:p w:rsidR="00000000" w:rsidDel="00000000" w:rsidP="00000000" w:rsidRDefault="00000000" w:rsidRPr="00000000" w14:paraId="00000021">
      <w:pPr>
        <w:numPr>
          <w:ilvl w:val="0"/>
          <w:numId w:val="3"/>
        </w:numPr>
        <w:ind w:left="1800" w:right="-547" w:hanging="360"/>
        <w:rPr>
          <w:rFonts w:ascii="EB Garamond" w:cs="EB Garamond" w:eastAsia="EB Garamond" w:hAnsi="EB Garamond"/>
          <w:u w:val="none"/>
        </w:rPr>
      </w:pPr>
      <w:hyperlink r:id="rId16">
        <w:r w:rsidDel="00000000" w:rsidR="00000000" w:rsidRPr="00000000">
          <w:rPr>
            <w:rFonts w:ascii="EB Garamond" w:cs="EB Garamond" w:eastAsia="EB Garamond" w:hAnsi="EB Garamond"/>
            <w:color w:val="1155cc"/>
            <w:sz w:val="22"/>
            <w:szCs w:val="22"/>
            <w:u w:val="single"/>
            <w:rtl w:val="0"/>
          </w:rPr>
          <w:t xml:space="preserve">S1279</w:t>
        </w:r>
      </w:hyperlink>
      <w:r w:rsidDel="00000000" w:rsidR="00000000" w:rsidRPr="00000000">
        <w:rPr>
          <w:rFonts w:ascii="EB Garamond" w:cs="EB Garamond" w:eastAsia="EB Garamond" w:hAnsi="EB Garamond"/>
          <w:sz w:val="22"/>
          <w:szCs w:val="22"/>
          <w:rtl w:val="0"/>
        </w:rPr>
        <w:t xml:space="preserve"> | Starter Home Subdivisions </w:t>
      </w:r>
      <w:r w:rsidDel="00000000" w:rsidR="00000000" w:rsidRPr="00000000">
        <w:rPr>
          <w:rFonts w:ascii="EB Garamond" w:cs="EB Garamond" w:eastAsia="EB Garamond" w:hAnsi="EB Garamond"/>
          <w:b w:val="1"/>
          <w:bCs w:val="1"/>
          <w:sz w:val="22"/>
          <w:szCs w:val="22"/>
          <w:rtl w:val="0"/>
        </w:rPr>
        <w:t xml:space="preserve"> (OPPOSE) (Sara)</w:t>
      </w:r>
      <w:r w:rsidDel="00000000" w:rsidR="00000000" w:rsidRPr="00000000">
        <w:rPr>
          <w:rtl w:val="0"/>
        </w:rPr>
      </w:r>
    </w:p>
    <w:p w:rsidR="00000000" w:rsidDel="00000000" w:rsidP="00000000" w:rsidRDefault="00000000" w:rsidRPr="00000000" w14:paraId="00000022">
      <w:pPr>
        <w:numPr>
          <w:ilvl w:val="0"/>
          <w:numId w:val="3"/>
        </w:numPr>
        <w:ind w:left="1800" w:right="-547" w:hanging="360"/>
        <w:rPr>
          <w:rFonts w:ascii="EB Garamond" w:cs="EB Garamond" w:eastAsia="EB Garamond" w:hAnsi="EB Garamond"/>
          <w:u w:val="none"/>
        </w:rPr>
      </w:pPr>
      <w:hyperlink r:id="rId17">
        <w:r w:rsidDel="00000000" w:rsidR="00000000" w:rsidRPr="00000000">
          <w:rPr>
            <w:rFonts w:ascii="EB Garamond" w:cs="EB Garamond" w:eastAsia="EB Garamond" w:hAnsi="EB Garamond"/>
            <w:color w:val="1155cc"/>
            <w:sz w:val="22"/>
            <w:szCs w:val="22"/>
            <w:u w:val="single"/>
            <w:rtl w:val="0"/>
          </w:rPr>
          <w:t xml:space="preserve">S1280</w:t>
        </w:r>
      </w:hyperlink>
      <w:r w:rsidDel="00000000" w:rsidR="00000000" w:rsidRPr="00000000">
        <w:rPr>
          <w:rFonts w:ascii="EB Garamond" w:cs="EB Garamond" w:eastAsia="EB Garamond" w:hAnsi="EB Garamond"/>
          <w:sz w:val="22"/>
          <w:szCs w:val="22"/>
          <w:rtl w:val="0"/>
        </w:rPr>
        <w:t xml:space="preserve"> | Duplexes, twin homes, land use </w:t>
      </w:r>
      <w:r w:rsidDel="00000000" w:rsidR="00000000" w:rsidRPr="00000000">
        <w:rPr>
          <w:rFonts w:ascii="EB Garamond" w:cs="EB Garamond" w:eastAsia="EB Garamond" w:hAnsi="EB Garamond"/>
          <w:b w:val="1"/>
          <w:bCs w:val="1"/>
          <w:sz w:val="22"/>
          <w:szCs w:val="22"/>
          <w:rtl w:val="0"/>
        </w:rPr>
        <w:t xml:space="preserve"> (OPPOSE) (Sara)</w:t>
      </w:r>
    </w:p>
    <w:p w:rsidR="00000000" w:rsidDel="00000000" w:rsidP="00000000" w:rsidRDefault="00000000" w:rsidRPr="00000000" w14:paraId="00000023">
      <w:pPr>
        <w:numPr>
          <w:ilvl w:val="0"/>
          <w:numId w:val="3"/>
        </w:numPr>
        <w:ind w:left="1800" w:right="-547" w:hanging="360"/>
        <w:rPr>
          <w:rFonts w:ascii="EB Garamond" w:cs="EB Garamond" w:eastAsia="EB Garamond" w:hAnsi="EB Garamond"/>
        </w:rPr>
      </w:pPr>
      <w:hyperlink r:id="rId18">
        <w:r w:rsidDel="00000000" w:rsidR="00000000" w:rsidRPr="00000000">
          <w:rPr>
            <w:rFonts w:ascii="EB Garamond" w:cs="EB Garamond" w:eastAsia="EB Garamond" w:hAnsi="EB Garamond"/>
            <w:color w:val="1155cc"/>
            <w:sz w:val="22"/>
            <w:szCs w:val="22"/>
            <w:u w:val="single"/>
            <w:rtl w:val="0"/>
          </w:rPr>
          <w:t xml:space="preserve">S1287</w:t>
        </w:r>
      </w:hyperlink>
      <w:r w:rsidDel="00000000" w:rsidR="00000000" w:rsidRPr="00000000">
        <w:rPr>
          <w:rFonts w:ascii="EB Garamond" w:cs="EB Garamond" w:eastAsia="EB Garamond" w:hAnsi="EB Garamond"/>
          <w:sz w:val="22"/>
          <w:szCs w:val="22"/>
          <w:rtl w:val="0"/>
        </w:rPr>
        <w:t xml:space="preserve"> | Public Rights-of-Way (Sara) </w:t>
      </w:r>
    </w:p>
    <w:p w:rsidR="00000000" w:rsidDel="00000000" w:rsidP="00000000" w:rsidRDefault="00000000" w:rsidRPr="00000000" w14:paraId="00000024">
      <w:pPr>
        <w:numPr>
          <w:ilvl w:val="0"/>
          <w:numId w:val="3"/>
        </w:numPr>
        <w:ind w:left="1800" w:right="-547" w:hanging="360"/>
        <w:rPr>
          <w:rFonts w:ascii="EB Garamond" w:cs="EB Garamond" w:eastAsia="EB Garamond" w:hAnsi="EB Garamond"/>
        </w:rPr>
      </w:pPr>
      <w:hyperlink r:id="rId19">
        <w:r w:rsidDel="00000000" w:rsidR="00000000" w:rsidRPr="00000000">
          <w:rPr>
            <w:rFonts w:ascii="EB Garamond" w:cs="EB Garamond" w:eastAsia="EB Garamond" w:hAnsi="EB Garamond"/>
            <w:color w:val="1155cc"/>
            <w:sz w:val="22"/>
            <w:szCs w:val="22"/>
            <w:u w:val="single"/>
            <w:rtl w:val="0"/>
          </w:rPr>
          <w:t xml:space="preserve">S1298</w:t>
        </w:r>
      </w:hyperlink>
      <w:r w:rsidDel="00000000" w:rsidR="00000000" w:rsidRPr="00000000">
        <w:rPr>
          <w:rFonts w:ascii="EB Garamond" w:cs="EB Garamond" w:eastAsia="EB Garamond" w:hAnsi="EB Garamond"/>
          <w:sz w:val="22"/>
          <w:szCs w:val="22"/>
          <w:rtl w:val="0"/>
        </w:rPr>
        <w:t xml:space="preserve"> | Self-defense, immunity (Brian)</w:t>
      </w:r>
      <w:r w:rsidDel="00000000" w:rsidR="00000000" w:rsidRPr="00000000">
        <w:rPr>
          <w:rtl w:val="0"/>
        </w:rPr>
      </w:r>
    </w:p>
    <w:p w:rsidR="00000000" w:rsidDel="00000000" w:rsidP="00000000" w:rsidRDefault="00000000" w:rsidRPr="00000000" w14:paraId="00000025">
      <w:pPr>
        <w:numPr>
          <w:ilvl w:val="0"/>
          <w:numId w:val="3"/>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Lot Splitting for Family (</w:t>
      </w:r>
      <w:r w:rsidDel="00000000" w:rsidR="00000000" w:rsidRPr="00000000">
        <w:rPr>
          <w:rFonts w:ascii="EB Garamond" w:cs="EB Garamond" w:eastAsia="EB Garamond" w:hAnsi="EB Garamond"/>
          <w:i w:val="1"/>
          <w:iCs w:val="1"/>
          <w:sz w:val="22"/>
          <w:szCs w:val="22"/>
          <w:rtl w:val="0"/>
        </w:rPr>
        <w:t xml:space="preserve">draft available</w:t>
      </w:r>
      <w:r w:rsidDel="00000000" w:rsidR="00000000" w:rsidRPr="00000000">
        <w:rPr>
          <w:rFonts w:ascii="EB Garamond" w:cs="EB Garamond" w:eastAsia="EB Garamond" w:hAnsi="EB Garamond"/>
          <w:sz w:val="22"/>
          <w:szCs w:val="22"/>
          <w:rtl w:val="0"/>
        </w:rPr>
        <w:t xml:space="preserve">) (Clay)</w:t>
      </w:r>
    </w:p>
    <w:p w:rsidR="00000000" w:rsidDel="00000000" w:rsidP="00000000" w:rsidRDefault="00000000" w:rsidRPr="00000000" w14:paraId="00000026">
      <w:pPr>
        <w:ind w:right="-547"/>
        <w:rPr>
          <w:rFonts w:ascii="EB Garamond" w:cs="EB Garamond" w:eastAsia="EB Garamond" w:hAnsi="EB Garamond"/>
          <w:i w:val="1"/>
          <w:iCs w:val="1"/>
          <w:sz w:val="22"/>
          <w:szCs w:val="22"/>
        </w:rPr>
      </w:pPr>
      <w:r w:rsidDel="00000000" w:rsidR="00000000" w:rsidRPr="00000000">
        <w:rPr>
          <w:rtl w:val="0"/>
        </w:rPr>
      </w:r>
    </w:p>
    <w:p w:rsidR="00000000" w:rsidDel="00000000" w:rsidP="00000000" w:rsidRDefault="00000000" w:rsidRPr="00000000" w14:paraId="00000027">
      <w:pPr>
        <w:ind w:left="0" w:right="-547" w:firstLine="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1:00 pm</w:t>
        <w:tab/>
        <w:tab/>
      </w:r>
      <w:r w:rsidDel="00000000" w:rsidR="00000000" w:rsidRPr="00000000">
        <w:rPr>
          <w:rFonts w:ascii="EB Garamond" w:cs="EB Garamond" w:eastAsia="EB Garamond" w:hAnsi="EB Garamond"/>
          <w:b w:val="1"/>
          <w:bCs w:val="1"/>
          <w:sz w:val="22"/>
          <w:szCs w:val="22"/>
          <w:rtl w:val="0"/>
        </w:rPr>
        <w:t xml:space="preserve">Adjournment</w:t>
      </w:r>
      <w:r w:rsidDel="00000000" w:rsidR="00000000" w:rsidRPr="00000000">
        <w:rPr>
          <w:rtl w:val="0"/>
        </w:rPr>
      </w:r>
    </w:p>
    <w:p w:rsidR="00000000" w:rsidDel="00000000" w:rsidP="00000000" w:rsidRDefault="00000000" w:rsidRPr="00000000" w14:paraId="00000028">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9">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A">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B">
      <w:pPr>
        <w:spacing w:after="12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2C">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2D">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2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Tom Dayley</w:t>
            </w:r>
          </w:p>
          <w:p w:rsidR="00000000" w:rsidDel="00000000" w:rsidP="00000000" w:rsidRDefault="00000000" w:rsidRPr="00000000" w14:paraId="0000002F">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 Commissioner</w:t>
            </w:r>
          </w:p>
        </w:tc>
        <w:tc>
          <w:tcPr>
            <w:gridSpan w:val="2"/>
          </w:tcPr>
          <w:p w:rsidR="00000000" w:rsidDel="00000000" w:rsidP="00000000" w:rsidRDefault="00000000" w:rsidRPr="00000000" w14:paraId="00000031">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VICE-CHAIR</w:t>
            </w:r>
          </w:p>
          <w:p w:rsidR="00000000" w:rsidDel="00000000" w:rsidP="00000000" w:rsidRDefault="00000000" w:rsidRPr="00000000" w14:paraId="0000003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Chris Goetz</w:t>
            </w:r>
          </w:p>
          <w:p w:rsidR="00000000" w:rsidDel="00000000" w:rsidP="00000000" w:rsidRDefault="00000000" w:rsidRPr="00000000" w14:paraId="00000033">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3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Bruce Mattare</w:t>
            </w:r>
          </w:p>
          <w:p w:rsidR="00000000" w:rsidDel="00000000" w:rsidP="00000000" w:rsidRDefault="00000000" w:rsidRPr="00000000" w14:paraId="00000036">
            <w:pP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       District 1: Kootenai Commissioner</w:t>
            </w:r>
          </w:p>
          <w:p w:rsidR="00000000" w:rsidDel="00000000" w:rsidP="00000000" w:rsidRDefault="00000000" w:rsidRPr="00000000" w14:paraId="00000037">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8">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39">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3A">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B">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Zach Brooks</w:t>
            </w:r>
          </w:p>
          <w:p w:rsidR="00000000" w:rsidDel="00000000" w:rsidP="00000000" w:rsidRDefault="00000000" w:rsidRPr="00000000" w14:paraId="0000003C">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3D">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3F">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40">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1">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2">
            <w:pPr>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43">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 </w:t>
            </w:r>
          </w:p>
          <w:p w:rsidR="00000000" w:rsidDel="00000000" w:rsidP="00000000" w:rsidRDefault="00000000" w:rsidRPr="00000000" w14:paraId="00000044">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45">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6">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Brent Mendenhall</w:t>
            </w:r>
          </w:p>
          <w:p w:rsidR="00000000" w:rsidDel="00000000" w:rsidP="00000000" w:rsidRDefault="00000000" w:rsidRPr="00000000" w14:paraId="00000047">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48">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9">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Hollie Ann Flansberg</w:t>
            </w:r>
          </w:p>
          <w:p w:rsidR="00000000" w:rsidDel="00000000" w:rsidP="00000000" w:rsidRDefault="00000000" w:rsidRPr="00000000" w14:paraId="0000004A">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4B">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Jared Orton</w:t>
            </w:r>
          </w:p>
          <w:p w:rsidR="00000000" w:rsidDel="00000000" w:rsidP="00000000" w:rsidRDefault="00000000" w:rsidRPr="00000000" w14:paraId="0000004D">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4E">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4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Trent Tripple</w:t>
            </w:r>
          </w:p>
          <w:p w:rsidR="00000000" w:rsidDel="00000000" w:rsidP="00000000" w:rsidRDefault="00000000" w:rsidRPr="00000000" w14:paraId="00000050">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5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Annette Dygert</w:t>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5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55">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5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Andy Creech</w:t>
            </w:r>
          </w:p>
          <w:p w:rsidR="00000000" w:rsidDel="00000000" w:rsidP="00000000" w:rsidRDefault="00000000" w:rsidRPr="00000000" w14:paraId="00000058">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5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A">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rtl w:val="0"/>
              </w:rPr>
              <w:t xml:space="preserve">Torey Danner</w:t>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5B">
            <w:pP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5C">
            <w:pP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5E">
            <w:pPr>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5F">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60">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62">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6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65">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6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Jennifer Riebe</w:t>
            </w:r>
          </w:p>
          <w:p w:rsidR="00000000" w:rsidDel="00000000" w:rsidP="00000000" w:rsidRDefault="00000000" w:rsidRPr="00000000" w14:paraId="00000068">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6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6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C">
            <w:pPr>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6D">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6F">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70">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72">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73">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Josh Dison</w:t>
            </w:r>
          </w:p>
          <w:p w:rsidR="00000000" w:rsidDel="00000000" w:rsidP="00000000" w:rsidRDefault="00000000" w:rsidRPr="00000000" w14:paraId="00000075">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76">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Kim Keeley</w:t>
            </w:r>
          </w:p>
          <w:p w:rsidR="00000000" w:rsidDel="00000000" w:rsidP="00000000" w:rsidRDefault="00000000" w:rsidRPr="00000000" w14:paraId="00000078">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7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7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7D">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7E">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80">
            <w:pPr>
              <w:jc w:val="center"/>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r w:rsidDel="00000000" w:rsidR="00000000" w:rsidRPr="00000000">
              <w:rPr>
                <w:rtl w:val="0"/>
              </w:rPr>
            </w:r>
          </w:p>
          <w:p w:rsidR="00000000" w:rsidDel="00000000" w:rsidP="00000000" w:rsidRDefault="00000000" w:rsidRPr="00000000" w14:paraId="0000008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82">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8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4">
            <w:pPr>
              <w:jc w:val="center"/>
              <w:rPr>
                <w:rFonts w:ascii="EB Garamond" w:cs="EB Garamond" w:eastAsia="EB Garamond" w:hAnsi="EB Garamond"/>
                <w:i w:val="1"/>
                <w:iCs w:val="1"/>
                <w:sz w:val="20"/>
                <w:szCs w:val="20"/>
              </w:rPr>
            </w:pPr>
            <w:r w:rsidDel="00000000" w:rsidR="00000000" w:rsidRPr="00000000">
              <w:rPr>
                <w:rtl w:val="0"/>
              </w:rPr>
            </w:r>
          </w:p>
        </w:tc>
      </w:tr>
    </w:tbl>
    <w:p w:rsidR="00000000" w:rsidDel="00000000" w:rsidP="00000000" w:rsidRDefault="00000000" w:rsidRPr="00000000" w14:paraId="00000085">
      <w:pPr>
        <w:ind w:right="-547"/>
        <w:rPr>
          <w:rFonts w:ascii="Avenir" w:cs="Avenir" w:eastAsia="Avenir" w:hAnsi="Avenir"/>
          <w:b w:val="1"/>
          <w:bCs w:val="1"/>
          <w:sz w:val="36"/>
          <w:szCs w:val="36"/>
        </w:rPr>
      </w:pPr>
      <w:r w:rsidDel="00000000" w:rsidR="00000000" w:rsidRPr="00000000">
        <w:rPr>
          <w:rtl w:val="0"/>
        </w:rPr>
      </w:r>
    </w:p>
    <w:sectPr>
      <w:headerReference r:id="rId20" w:type="default"/>
      <w:headerReference r:id="rId21" w:type="first"/>
      <w:headerReference r:id="rId22" w:type="even"/>
      <w:footerReference r:id="rId23" w:type="default"/>
      <w:footerReference r:id="rId24" w:type="first"/>
      <w:footerReference r:id="rId25" w:type="even"/>
      <w:pgSz w:h="15840" w:w="12240" w:orient="portrait"/>
      <w:pgMar w:bottom="679" w:top="1760" w:left="1440" w:right="1440" w:header="28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Special Elit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000000"/>
        <w:sz w:val="21"/>
        <w:szCs w:val="21"/>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282956"/>
        <w:sz w:val="21"/>
        <w:szCs w:val="21"/>
      </w:rPr>
    </w:pPr>
    <w:r w:rsidDel="00000000" w:rsidR="00000000" w:rsidRPr="00000000">
      <w:rPr>
        <w:rFonts w:ascii="EB Garamond" w:cs="EB Garamond" w:eastAsia="EB Garamond" w:hAnsi="EB Garamond"/>
        <w:i w:val="1"/>
        <w:iCs w:val="1"/>
        <w:color w:val="282956"/>
        <w:sz w:val="21"/>
        <w:szCs w:val="21"/>
        <w:rtl w:val="0"/>
      </w:rPr>
      <w:t xml:space="preserve">IAC promotes county interests, encourages ethical behavior, advocates good public policy on behalf of Idaho counties, supports best practices, and provides education and training to assist Idaho county officials in performance of public service.</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ind w:left="-1440" w:right="-1440" w:firstLine="0"/>
      <w:jc w:val="center"/>
      <w:rPr>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right" w:leader="none" w:pos="9360"/>
      </w:tabs>
      <w:ind w:left="-1440" w:right="-900" w:firstLine="0"/>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4572000</wp:posOffset>
          </wp:positionH>
          <wp:positionV relativeFrom="paragraph">
            <wp:posOffset>19050</wp:posOffset>
          </wp:positionV>
          <wp:extent cx="1920240" cy="765839"/>
          <wp:effectExtent b="0" l="0" r="0" t="0"/>
          <wp:wrapNone/>
          <wp:docPr id="6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tabs>
        <w:tab w:val="center" w:leader="none" w:pos="4680"/>
        <w:tab w:val="right" w:leader="none" w:pos="9360"/>
      </w:tabs>
      <w:spacing w:after="120" w:lineRule="auto"/>
      <w:ind w:left="-1170" w:firstLine="0"/>
      <w:jc w:val="center"/>
      <w:rPr>
        <w:rFonts w:ascii="Avenir" w:cs="Avenir" w:eastAsia="Avenir" w:hAnsi="Avenir"/>
        <w:b w:val="1"/>
        <w:bCs w:val="1"/>
        <w:sz w:val="36"/>
        <w:szCs w:val="36"/>
      </w:rPr>
    </w:pPr>
    <w:bookmarkStart w:colFirst="0" w:colLast="0" w:name="_heading=h.aroe9l192hhb" w:id="2"/>
    <w:bookmarkEnd w:id="2"/>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-333366</wp:posOffset>
          </wp:positionH>
          <wp:positionV relativeFrom="paragraph">
            <wp:posOffset>-180966</wp:posOffset>
          </wp:positionV>
          <wp:extent cx="6619875" cy="1545908"/>
          <wp:effectExtent b="0" l="0" r="0" t="0"/>
          <wp:wrapNone/>
          <wp:docPr id="6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19875" cy="1545908"/>
                  </a:xfrm>
                  <a:prstGeom prst="rect"/>
                  <a:ln/>
                </pic:spPr>
              </pic:pic>
            </a:graphicData>
          </a:graphic>
        </wp:anchor>
      </w:drawing>
    </w:r>
  </w:p>
  <w:p w:rsidR="00000000" w:rsidDel="00000000" w:rsidP="00000000" w:rsidRDefault="00000000" w:rsidRPr="00000000" w14:paraId="00000089">
    <w:pPr>
      <w:tabs>
        <w:tab w:val="center" w:leader="none" w:pos="4680"/>
        <w:tab w:val="right" w:leader="none" w:pos="9360"/>
      </w:tabs>
      <w:spacing w:after="120" w:lineRule="auto"/>
      <w:ind w:left="0" w:firstLine="0"/>
      <w:jc w:val="left"/>
      <w:rPr>
        <w:rFonts w:ascii="Avenir" w:cs="Avenir" w:eastAsia="Avenir" w:hAnsi="Avenir"/>
        <w:b w:val="1"/>
        <w:bCs w:val="1"/>
        <w:sz w:val="36"/>
        <w:szCs w:val="36"/>
      </w:rPr>
    </w:pPr>
    <w:bookmarkStart w:colFirst="0" w:colLast="0" w:name="_heading=h.gjdgxs" w:id="3"/>
    <w:bookmarkEnd w:id="3"/>
    <w:r w:rsidDel="00000000" w:rsidR="00000000" w:rsidRPr="00000000">
      <w:rPr>
        <w:rFonts w:ascii="Avenir" w:cs="Avenir" w:eastAsia="Avenir" w:hAnsi="Avenir"/>
        <w:b w:val="1"/>
        <w:bCs w:val="1"/>
        <w:sz w:val="36"/>
        <w:szCs w:val="36"/>
        <w:rtl w:val="0"/>
      </w:rPr>
      <w:tab/>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ind w:left="-1170" w:firstLine="0"/>
      <w:jc w:val="left"/>
      <w:rPr>
        <w:rFonts w:ascii="Avenir" w:cs="Avenir" w:eastAsia="Avenir" w:hAnsi="Avenir"/>
        <w:b w:val="1"/>
        <w:bCs w:val="1"/>
        <w:sz w:val="36"/>
        <w:szCs w:val="3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sz w:val="6"/>
        <w:szCs w:val="6"/>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80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743/" TargetMode="Externa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gislature.idaho.gov/wp-content/uploads/sessioninfo/2026/legislation/H0556.pdf" TargetMode="External"/><Relationship Id="rId8" Type="http://schemas.openxmlformats.org/officeDocument/2006/relationships/hyperlink" Target="https://legislature.idaho.gov/sessioninfo/2026/legislation/H0620/" TargetMode="External"/><Relationship Id="rId11" Type="http://schemas.openxmlformats.org/officeDocument/2006/relationships/hyperlink" Target="https://legislature.idaho.gov/sessioninfo/2026/legislation/H0760/" TargetMode="External"/><Relationship Id="rId10" Type="http://schemas.openxmlformats.org/officeDocument/2006/relationships/hyperlink" Target="https://legislature.idaho.gov/sessioninfo/2026/legislation/H0748/" TargetMode="External"/><Relationship Id="rId13" Type="http://schemas.openxmlformats.org/officeDocument/2006/relationships/hyperlink" Target="https://legislature.idaho.gov/sessioninfo/2026/legislation/H0714/" TargetMode="External"/><Relationship Id="rId12" Type="http://schemas.openxmlformats.org/officeDocument/2006/relationships/hyperlink" Target="https://legislature.idaho.gov/sessioninfo/2026/legislation/H0643/" TargetMode="External"/><Relationship Id="rId15" Type="http://schemas.openxmlformats.org/officeDocument/2006/relationships/hyperlink" Target="https://legislature.idaho.gov/sessioninfo/2026/legislation/S1277/" TargetMode="External"/><Relationship Id="rId14" Type="http://schemas.openxmlformats.org/officeDocument/2006/relationships/hyperlink" Target="https://legislature.idaho.gov/sessioninfo/2026/legislation/S1241/" TargetMode="External"/><Relationship Id="rId17" Type="http://schemas.openxmlformats.org/officeDocument/2006/relationships/hyperlink" Target="https://legislature.idaho.gov/sessioninfo/2026/legislation/S1280/" TargetMode="External"/><Relationship Id="rId16" Type="http://schemas.openxmlformats.org/officeDocument/2006/relationships/hyperlink" Target="https://legislature.idaho.gov/sessioninfo/2026/legislation/S1279/" TargetMode="External"/><Relationship Id="rId19" Type="http://schemas.openxmlformats.org/officeDocument/2006/relationships/hyperlink" Target="https://legislature.idaho.gov/sessioninfo/2026/legislation/S1298/" TargetMode="External"/><Relationship Id="rId18" Type="http://schemas.openxmlformats.org/officeDocument/2006/relationships/hyperlink" Target="https://legislature.idaho.gov/sessioninfo/2026/legislation/S128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SpecialElite-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kcOPPA3cjn/KsaRbs3NmjeBt3w==">CgMxLjAyDmguMjJuN216bGtwcnpvMg5oLjNrZjVqbHNmeXl0ZTIOaC5hcm9lOWwxOTJoaGIyCGguZ2pkZ3hzOAByITFhUzlqbUNQdEZGQU5TYkdtMktPdktldEpQUi00VV85cA==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